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00000">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00000">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00000">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00000">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00000">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00000">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00000">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00000">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00000">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00000">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00000">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00000">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00000">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00000">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00000">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00000">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00000">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00000">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00000">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00000">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00000">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00000">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00000">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00000">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00000">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00000">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00000">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00000">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00000">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00000">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00000">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00000">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00000">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00000">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00000">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00000">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00000">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00000">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00000">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00000">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00000">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00000">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00000">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00000">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00000">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00000">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3A2167D" w:rsidR="00093CA9" w:rsidRDefault="00496663" w:rsidP="00093CA9">
            <w:r w:rsidRPr="00496663">
              <w:t>Cleary Gottlieb Steen &amp; Hamilton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2171DAA" w:rsidR="00093CA9" w:rsidRDefault="0030368A" w:rsidP="00093CA9">
            <w:r w:rsidRPr="0030368A">
              <w:t>Regulation (EU) 2024/1787 of the European Parliament and of the Council of 13 June 2024 on the reduction of methane emissions in the energy sector and amending Regulation (EU) 2019/942</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DE32D1F" w:rsidR="007065E3" w:rsidRDefault="005E61CD" w:rsidP="007065E3">
            <w:hyperlink r:id="rId17" w:history="1">
              <w:r w:rsidRPr="00562C42">
                <w:rPr>
                  <w:rStyle w:val="Hyperlink"/>
                </w:rPr>
                <w:t>https://eur-lex.europa.eu/eli/reg/2024/1787/oj/eng</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DE5AD71"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B8DB41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643472D" w:rsidR="00093CA9" w:rsidRDefault="007065E3"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5AF307E8" w14:textId="6CE9CF3A" w:rsidR="00016734" w:rsidRDefault="007065E3" w:rsidP="00016734">
            <w:r>
              <w:t>The policy tool aims to reduce the methane emissions in the energy sector (oil</w:t>
            </w:r>
            <w:r w:rsidR="005E61CD">
              <w:t>,</w:t>
            </w:r>
            <w:r>
              <w:t xml:space="preserve"> ga</w:t>
            </w:r>
            <w:r w:rsidR="00402EE0">
              <w:t>s</w:t>
            </w:r>
            <w:r>
              <w:t xml:space="preserve"> and coal)</w:t>
            </w:r>
            <w:r w:rsidR="00016734">
              <w:t xml:space="preserve"> by:</w:t>
            </w:r>
          </w:p>
          <w:p w14:paraId="00793D4D" w14:textId="77777777" w:rsidR="00636853" w:rsidRDefault="00636853" w:rsidP="00016734">
            <w:pPr>
              <w:pStyle w:val="ListParagraph"/>
              <w:numPr>
                <w:ilvl w:val="0"/>
                <w:numId w:val="51"/>
              </w:numPr>
            </w:pPr>
            <w:r w:rsidRPr="00636853">
              <w:t>creating a new legal framework within the EU for the measurement, reporting, and verification of methane emissions in the energy sector;</w:t>
            </w:r>
          </w:p>
          <w:p w14:paraId="263B1484" w14:textId="4C5AED79" w:rsidR="00636853" w:rsidRDefault="00636853" w:rsidP="00636853">
            <w:pPr>
              <w:pStyle w:val="ListParagraph"/>
              <w:numPr>
                <w:ilvl w:val="0"/>
                <w:numId w:val="51"/>
              </w:numPr>
            </w:pPr>
            <w:r w:rsidRPr="00636853">
              <w:t>implementing mitigation strategies to stop these emissions, such as identifying and fixing methane leaks and restricting venting and flaring; and</w:t>
            </w:r>
          </w:p>
          <w:p w14:paraId="18257824" w14:textId="572FBEF7" w:rsidR="00636853" w:rsidRDefault="00636853" w:rsidP="00636853">
            <w:pPr>
              <w:pStyle w:val="ListParagraph"/>
              <w:numPr>
                <w:ilvl w:val="0"/>
                <w:numId w:val="51"/>
              </w:numPr>
            </w:pPr>
            <w:r w:rsidRPr="00636853">
              <w:t xml:space="preserve">laying out </w:t>
            </w:r>
            <w:r w:rsidR="00016734" w:rsidRPr="00016734">
              <w:t xml:space="preserve">global monitoring tools to </w:t>
            </w:r>
            <w:r w:rsidRPr="00636853">
              <w:t>guarantee</w:t>
            </w:r>
            <w:r w:rsidRPr="00016734">
              <w:t xml:space="preserve"> </w:t>
            </w:r>
            <w:r w:rsidR="00016734" w:rsidRPr="00016734">
              <w:t xml:space="preserve">transparency </w:t>
            </w:r>
            <w:r w:rsidRPr="00636853">
              <w:t>regarding methane emissions from coal, gas, and oil imports into the EU.</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9835F27" w:rsidR="00093CA9" w:rsidRDefault="007065E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05BBF3FB" w:rsidR="00093CA9" w:rsidRDefault="007065E3" w:rsidP="00093CA9">
            <w:r>
              <w:t>The policy tool is in force,</w:t>
            </w:r>
            <w:r w:rsidR="00E96E6A">
              <w:t xml:space="preserve"> but </w:t>
            </w:r>
            <w:r w:rsidR="00E96E6A" w:rsidRPr="00E96E6A">
              <w:t xml:space="preserve">the </w:t>
            </w:r>
            <w:r w:rsidR="00352FDF">
              <w:t xml:space="preserve">European </w:t>
            </w:r>
            <w:r w:rsidR="00E96E6A" w:rsidRPr="00E96E6A">
              <w:t xml:space="preserve">Commission still has to adopt several delegated acts (detailed in the </w:t>
            </w:r>
            <w:r w:rsidR="00E96E6A">
              <w:t>survey</w:t>
            </w:r>
            <w:r w:rsidR="00E96E6A" w:rsidRPr="00E96E6A">
              <w:t>)</w:t>
            </w:r>
            <w:r w:rsidR="00402EE0">
              <w:t xml:space="preserve"> pursuant to </w:t>
            </w:r>
            <w:r w:rsidR="00352FDF">
              <w:t>A</w:t>
            </w:r>
            <w:r w:rsidR="00402EE0">
              <w:t>rticle 32 of the Regulation.</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F557069" w:rsidR="00093CA9" w:rsidRPr="00173D7C" w:rsidRDefault="00E96E6A"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DBBEE3E" w:rsidR="00093CA9" w:rsidRPr="00173D7C" w:rsidRDefault="00E96E6A"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33FDBEAF" w:rsidR="00093CA9" w:rsidRPr="00587FAE" w:rsidRDefault="00BD13B8" w:rsidP="00093CA9">
            <w:pPr>
              <w:rPr>
                <w:color w:val="000000" w:themeColor="text1"/>
              </w:rPr>
            </w:pPr>
            <w:r w:rsidRPr="00BD13B8">
              <w:rPr>
                <w:color w:val="000000" w:themeColor="text1"/>
              </w:rPr>
              <w:t>The</w:t>
            </w:r>
            <w:r>
              <w:rPr>
                <w:color w:val="000000" w:themeColor="text1"/>
              </w:rPr>
              <w:t xml:space="preserve"> Regulation</w:t>
            </w:r>
            <w:r w:rsidRPr="00BD13B8">
              <w:rPr>
                <w:color w:val="000000" w:themeColor="text1"/>
              </w:rPr>
              <w:t xml:space="preserve"> is being implemented gradually over the coming years with all requirements scheduled to be applicable by 2030.</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35D049B" w:rsidR="00093CA9" w:rsidRDefault="00352FDF"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2774781C" w14:textId="4F173EFA" w:rsidR="00093CA9" w:rsidRDefault="00E96E6A" w:rsidP="00093CA9">
            <w:r>
              <w:t xml:space="preserve">The competent authorities designated by </w:t>
            </w:r>
            <w:r w:rsidR="00352FDF">
              <w:t xml:space="preserve">the </w:t>
            </w:r>
            <w:r w:rsidR="00352FDF" w:rsidRPr="0011092E">
              <w:t>Member States</w:t>
            </w:r>
          </w:p>
          <w:p w14:paraId="58D97C26" w14:textId="72A7E2D2" w:rsidR="00E96E6A" w:rsidRPr="006B7B0D" w:rsidRDefault="00E96E6A"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663C6B0" w:rsidR="00093CA9" w:rsidRPr="006B7B0D" w:rsidRDefault="00E96E6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3235A077" w:rsidR="00093CA9" w:rsidRDefault="0011092E" w:rsidP="00093CA9">
            <w:r w:rsidRPr="0011092E">
              <w:t xml:space="preserve">In accordance with the powers granted by the Regulation to the </w:t>
            </w:r>
            <w:r w:rsidR="00352FDF">
              <w:t xml:space="preserve">competent </w:t>
            </w:r>
            <w:r w:rsidRPr="0011092E">
              <w:t xml:space="preserve">authorities designated by the Member States (detailed throughout the </w:t>
            </w:r>
            <w:r>
              <w:t>survey</w:t>
            </w:r>
            <w:r w:rsidRPr="0011092E">
              <w:t>), it can be stated that these authorities have a high capacity</w:t>
            </w:r>
            <w:r>
              <w:t xml:space="preserve"> to undertake their work</w:t>
            </w:r>
            <w:r w:rsidRPr="0011092E">
              <w: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B4287B0" w:rsidR="00093CA9" w:rsidRDefault="00E5784B"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D9F8F68" w14:textId="16C02698" w:rsidR="00E5784B" w:rsidRDefault="009072F7" w:rsidP="00F266B0">
            <w:pPr>
              <w:keepNext/>
              <w:rPr>
                <w:color w:val="000000" w:themeColor="text1"/>
              </w:rPr>
            </w:pPr>
            <w:r>
              <w:rPr>
                <w:color w:val="000000" w:themeColor="text1"/>
              </w:rPr>
              <w:t>Article 4, §1</w:t>
            </w:r>
            <w:r w:rsidR="00326FC7">
              <w:rPr>
                <w:color w:val="000000" w:themeColor="text1"/>
              </w:rPr>
              <w:t xml:space="preserve"> </w:t>
            </w:r>
            <w:r w:rsidR="00F266B0">
              <w:rPr>
                <w:color w:val="000000" w:themeColor="text1"/>
              </w:rPr>
              <w:t>of the Regulation</w:t>
            </w:r>
            <w:r w:rsidR="00F266B0">
              <w:rPr>
                <w:color w:val="000000" w:themeColor="text1"/>
              </w:rPr>
              <w:t xml:space="preserve"> states that:</w:t>
            </w:r>
            <w:r>
              <w:rPr>
                <w:color w:val="000000" w:themeColor="text1"/>
              </w:rPr>
              <w:t xml:space="preserve"> “</w:t>
            </w:r>
            <w:r w:rsidRPr="009072F7">
              <w:rPr>
                <w:i/>
                <w:iCs/>
                <w:color w:val="000000" w:themeColor="text1"/>
              </w:rPr>
              <w:t xml:space="preserve">Each Member State shall designate </w:t>
            </w:r>
            <w:r w:rsidRPr="00281FB9">
              <w:rPr>
                <w:b/>
                <w:bCs/>
                <w:i/>
                <w:iCs/>
                <w:color w:val="000000" w:themeColor="text1"/>
              </w:rPr>
              <w:t>one or more competent authorities</w:t>
            </w:r>
            <w:r w:rsidRPr="009072F7">
              <w:rPr>
                <w:i/>
                <w:iCs/>
                <w:color w:val="000000" w:themeColor="text1"/>
              </w:rPr>
              <w:t xml:space="preserve"> responsible for monitoring and enforcing the application of this Regulation</w:t>
            </w:r>
            <w:r w:rsidR="00F266B0" w:rsidRPr="00F266B0">
              <w:rPr>
                <w:color w:val="000000" w:themeColor="text1"/>
              </w:rPr>
              <w:t>”</w:t>
            </w:r>
            <w:r w:rsidR="00281FB9">
              <w:rPr>
                <w:color w:val="000000" w:themeColor="text1"/>
              </w:rPr>
              <w:t>.</w:t>
            </w:r>
          </w:p>
          <w:p w14:paraId="7B6180A2" w14:textId="3BA34C8C" w:rsidR="00281FB9" w:rsidRPr="00281FB9" w:rsidRDefault="00281FB9" w:rsidP="00281FB9">
            <w:pPr>
              <w:keepNext/>
              <w:rPr>
                <w:color w:val="000000" w:themeColor="text1"/>
              </w:rPr>
            </w:pPr>
            <w:r>
              <w:rPr>
                <w:color w:val="000000" w:themeColor="text1"/>
              </w:rPr>
              <w:t xml:space="preserve">Article 36 of the Regulation </w:t>
            </w:r>
            <w:r>
              <w:rPr>
                <w:color w:val="000000" w:themeColor="text1"/>
              </w:rPr>
              <w:t xml:space="preserve">also </w:t>
            </w:r>
            <w:r>
              <w:rPr>
                <w:color w:val="000000" w:themeColor="text1"/>
              </w:rPr>
              <w:t>states that: “</w:t>
            </w:r>
            <w:r w:rsidRPr="00E5784B">
              <w:rPr>
                <w:i/>
                <w:iCs/>
                <w:color w:val="000000" w:themeColor="text1"/>
              </w:rPr>
              <w:t xml:space="preserve">1. </w:t>
            </w:r>
            <w:r w:rsidRPr="00281FB9">
              <w:rPr>
                <w:b/>
                <w:bCs/>
                <w:i/>
                <w:iCs/>
                <w:color w:val="000000" w:themeColor="text1"/>
              </w:rPr>
              <w:t>The Commission</w:t>
            </w:r>
            <w:r w:rsidRPr="00E5784B">
              <w:rPr>
                <w:i/>
                <w:iCs/>
                <w:color w:val="000000" w:themeColor="text1"/>
              </w:rPr>
              <w:t xml:space="preserve"> shall monitor and review the application of this Regulation and submit, by 1 January 2028 and every 5 years thereafter, a report to the European Parliament and to the Council</w:t>
            </w:r>
            <w:r w:rsidRPr="00F266B0">
              <w:rPr>
                <w:color w:val="000000" w:themeColor="text1"/>
              </w:rPr>
              <w:t>”</w:t>
            </w:r>
            <w:r>
              <w:rPr>
                <w:color w:val="000000" w:themeColor="text1"/>
              </w:rPr>
              <w:t>.</w:t>
            </w:r>
          </w:p>
          <w:p w14:paraId="6690BBBD" w14:textId="1C0C784D" w:rsidR="00281FB9" w:rsidRPr="00281FB9" w:rsidRDefault="00281FB9" w:rsidP="00281FB9">
            <w:pPr>
              <w:keepNext/>
              <w:rPr>
                <w:i/>
                <w:iCs/>
                <w:color w:val="000000" w:themeColor="text1"/>
              </w:rPr>
            </w:pPr>
            <w:r w:rsidRPr="00281FB9">
              <w:rPr>
                <w:i/>
                <w:iCs/>
                <w:color w:val="000000" w:themeColor="text1"/>
              </w:rPr>
              <w:t>2.</w:t>
            </w:r>
            <w:r>
              <w:rPr>
                <w:i/>
                <w:iCs/>
                <w:color w:val="000000" w:themeColor="text1"/>
              </w:rPr>
              <w:t xml:space="preserve"> </w:t>
            </w:r>
            <w:r w:rsidRPr="00281FB9">
              <w:rPr>
                <w:i/>
                <w:iCs/>
                <w:color w:val="000000" w:themeColor="text1"/>
              </w:rPr>
              <w:t>The first report shall in particular review the following:</w:t>
            </w:r>
          </w:p>
          <w:p w14:paraId="319C1A2C" w14:textId="77777777" w:rsidR="00281FB9" w:rsidRDefault="00281FB9" w:rsidP="00281FB9">
            <w:pPr>
              <w:keepNext/>
              <w:rPr>
                <w:i/>
                <w:iCs/>
                <w:color w:val="000000" w:themeColor="text1"/>
              </w:rPr>
            </w:pPr>
            <w:r w:rsidRPr="00281FB9">
              <w:rPr>
                <w:i/>
                <w:iCs/>
                <w:color w:val="000000" w:themeColor="text1"/>
              </w:rPr>
              <w:t>(a)</w:t>
            </w:r>
            <w:r>
              <w:rPr>
                <w:i/>
                <w:iCs/>
                <w:color w:val="000000" w:themeColor="text1"/>
              </w:rPr>
              <w:t xml:space="preserve"> </w:t>
            </w:r>
            <w:r w:rsidRPr="00281FB9">
              <w:rPr>
                <w:i/>
                <w:iCs/>
                <w:color w:val="000000" w:themeColor="text1"/>
              </w:rPr>
              <w:t xml:space="preserve">the effectiveness and efficiency of this Regulation in establishing transparent and accurate measurement, reporting and verification rules and in reducing methane emissions </w:t>
            </w:r>
            <w:r w:rsidRPr="00281FB9">
              <w:rPr>
                <w:i/>
                <w:iCs/>
                <w:color w:val="000000" w:themeColor="text1"/>
              </w:rPr>
              <w:lastRenderedPageBreak/>
              <w:t>associated with the production of crude oil, natural gas and coal placed on the Union market;</w:t>
            </w:r>
          </w:p>
          <w:p w14:paraId="7C05EDB1" w14:textId="77777777" w:rsidR="00281FB9" w:rsidRDefault="00281FB9" w:rsidP="00281FB9">
            <w:pPr>
              <w:keepNext/>
              <w:rPr>
                <w:i/>
                <w:iCs/>
                <w:color w:val="000000" w:themeColor="text1"/>
              </w:rPr>
            </w:pPr>
            <w:r w:rsidRPr="00281FB9">
              <w:rPr>
                <w:i/>
                <w:iCs/>
                <w:color w:val="000000" w:themeColor="text1"/>
              </w:rPr>
              <w:t>(b)</w:t>
            </w:r>
            <w:r>
              <w:rPr>
                <w:i/>
                <w:iCs/>
                <w:color w:val="000000" w:themeColor="text1"/>
              </w:rPr>
              <w:t xml:space="preserve"> </w:t>
            </w:r>
            <w:r w:rsidRPr="00281FB9">
              <w:rPr>
                <w:i/>
                <w:iCs/>
                <w:color w:val="000000" w:themeColor="text1"/>
              </w:rPr>
              <w:t>if feasible, the achieved level of reduction of methane emissions associated with the production of crude oil, natural gas and coal placed on the Union market as a result of this Regulation;</w:t>
            </w:r>
          </w:p>
          <w:p w14:paraId="2C2128DB" w14:textId="4F0326F3" w:rsidR="00281FB9" w:rsidRPr="00F266B0" w:rsidRDefault="00281FB9" w:rsidP="00326FC7">
            <w:pPr>
              <w:keepNext/>
              <w:rPr>
                <w:i/>
                <w:iCs/>
                <w:color w:val="000000" w:themeColor="text1"/>
              </w:rPr>
            </w:pPr>
            <w:r w:rsidRPr="00281FB9">
              <w:rPr>
                <w:i/>
                <w:iCs/>
                <w:color w:val="000000" w:themeColor="text1"/>
              </w:rPr>
              <w:t>(c)</w:t>
            </w:r>
            <w:r>
              <w:rPr>
                <w:i/>
                <w:iCs/>
                <w:color w:val="000000" w:themeColor="text1"/>
              </w:rPr>
              <w:t xml:space="preserve"> </w:t>
            </w:r>
            <w:r w:rsidRPr="00281FB9">
              <w:rPr>
                <w:i/>
                <w:iCs/>
                <w:color w:val="000000" w:themeColor="text1"/>
              </w:rPr>
              <w:t>whether additional or alternative measures are necessary to foster and accelerate the reduction of methane emissions in the value chain of crude oil, natural gas and coal placed on the Union market to support the Union’s target of net-zero greenhouse gas emissions by 2050 and its commitments under the Paris Agreement.</w:t>
            </w:r>
            <w:r w:rsidRPr="00281FB9">
              <w:rPr>
                <w:color w:val="000000" w:themeColor="text1"/>
              </w:rPr>
              <w:t>”</w:t>
            </w:r>
          </w:p>
        </w:tc>
      </w:tr>
    </w:tbl>
    <w:p w14:paraId="6F36141D" w14:textId="257EC847"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496663"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496663" w:rsidRDefault="00107CE2" w:rsidP="00DD3144">
            <w:pPr>
              <w:rPr>
                <w:lang w:val="fr-FR"/>
              </w:rPr>
            </w:pPr>
            <w:r w:rsidRPr="00496663">
              <w:rPr>
                <w:lang w:val="fr-FR"/>
              </w:rPr>
              <w:t>Minimum revenue (Enter minimum revenue)</w:t>
            </w:r>
          </w:p>
        </w:tc>
        <w:tc>
          <w:tcPr>
            <w:tcW w:w="4910" w:type="dxa"/>
            <w:gridSpan w:val="7"/>
            <w:shd w:val="clear" w:color="auto" w:fill="auto"/>
            <w:vAlign w:val="center"/>
          </w:tcPr>
          <w:p w14:paraId="2518BD70" w14:textId="77777777" w:rsidR="00524D54" w:rsidRPr="00496663" w:rsidRDefault="00524D54" w:rsidP="00DD3144">
            <w:pPr>
              <w:rPr>
                <w:lang w:val="fr-FR"/>
              </w:rPr>
            </w:pPr>
          </w:p>
        </w:tc>
      </w:tr>
      <w:tr w:rsidR="00524D54" w:rsidRPr="00F7763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496663"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496663" w:rsidRDefault="00B0479E" w:rsidP="00DD3144">
            <w:pPr>
              <w:rPr>
                <w:lang w:val="fr-FR"/>
              </w:rPr>
            </w:pPr>
            <w:r w:rsidRPr="00496663">
              <w:rPr>
                <w:rFonts w:ascii="Calibri" w:hAnsi="Calibri" w:cs="Calibri"/>
                <w:lang w:val="fr-FR"/>
              </w:rPr>
              <w:t xml:space="preserve">Carbon </w:t>
            </w:r>
            <w:proofErr w:type="spellStart"/>
            <w:r w:rsidRPr="00496663">
              <w:rPr>
                <w:rFonts w:ascii="Calibri" w:hAnsi="Calibri" w:cs="Calibri"/>
                <w:lang w:val="fr-FR"/>
              </w:rPr>
              <w:t>dioxide</w:t>
            </w:r>
            <w:proofErr w:type="spellEnd"/>
            <w:r w:rsidRPr="00496663">
              <w:rPr>
                <w:rFonts w:ascii="Calibri" w:hAnsi="Calibri" w:cs="Calibri"/>
                <w:lang w:val="fr-FR"/>
              </w:rPr>
              <w:t xml:space="preserve"> </w:t>
            </w:r>
            <w:proofErr w:type="spellStart"/>
            <w:r w:rsidRPr="00496663">
              <w:rPr>
                <w:rFonts w:ascii="Calibri" w:hAnsi="Calibri" w:cs="Calibri"/>
                <w:lang w:val="fr-FR"/>
              </w:rPr>
              <w:t>equivalent</w:t>
            </w:r>
            <w:proofErr w:type="spellEnd"/>
            <w:r w:rsidRPr="00496663">
              <w:rPr>
                <w:rFonts w:ascii="Calibri" w:hAnsi="Calibri" w:cs="Calibri"/>
                <w:lang w:val="fr-FR"/>
              </w:rPr>
              <w:t xml:space="preserve"> (</w:t>
            </w:r>
            <w:proofErr w:type="spellStart"/>
            <w:r w:rsidRPr="00496663">
              <w:rPr>
                <w:rFonts w:ascii="Calibri" w:hAnsi="Calibri" w:cs="Calibri"/>
                <w:lang w:val="fr-FR"/>
              </w:rPr>
              <w:t>CO₂e</w:t>
            </w:r>
            <w:proofErr w:type="spellEnd"/>
            <w:r w:rsidRPr="00496663">
              <w:rPr>
                <w:rFonts w:ascii="Calibri" w:hAnsi="Calibri" w:cs="Calibri"/>
                <w:lang w:val="fr-FR"/>
              </w:rPr>
              <w:t xml:space="preserve">) </w:t>
            </w:r>
          </w:p>
        </w:tc>
        <w:tc>
          <w:tcPr>
            <w:tcW w:w="3330" w:type="dxa"/>
            <w:gridSpan w:val="2"/>
            <w:shd w:val="clear" w:color="auto" w:fill="auto"/>
            <w:vAlign w:val="center"/>
          </w:tcPr>
          <w:p w14:paraId="7C41530E" w14:textId="769FE26A" w:rsidR="00B0479E" w:rsidRPr="00496663"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96663"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496663" w:rsidRDefault="004F276F" w:rsidP="00C37D48">
            <w:pPr>
              <w:rPr>
                <w:rFonts w:ascii="Calibri" w:hAnsi="Calibri" w:cs="Calibri"/>
                <w:lang w:val="fr-FR"/>
              </w:rPr>
            </w:pPr>
            <w:r w:rsidRPr="00496663">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496663" w:rsidRDefault="004F276F" w:rsidP="00C37D48">
            <w:pPr>
              <w:rPr>
                <w:rFonts w:ascii="Calibri" w:hAnsi="Calibri" w:cs="Calibri"/>
                <w:lang w:val="fr-FR"/>
              </w:rPr>
            </w:pPr>
          </w:p>
        </w:tc>
      </w:tr>
      <w:tr w:rsidR="004F276F" w:rsidRPr="00F7763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496663"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496663" w:rsidRDefault="003A2E5E" w:rsidP="00C37D48">
            <w:pPr>
              <w:rPr>
                <w:rFonts w:ascii="Calibri" w:hAnsi="Calibri" w:cs="Calibri"/>
                <w:lang w:val="fr-FR"/>
              </w:rPr>
            </w:pPr>
            <w:r w:rsidRPr="00496663">
              <w:rPr>
                <w:rFonts w:ascii="Calibri" w:hAnsi="Calibri" w:cs="Calibri"/>
                <w:lang w:val="fr-FR"/>
              </w:rPr>
              <w:t xml:space="preserve">Carbon </w:t>
            </w:r>
            <w:proofErr w:type="spellStart"/>
            <w:r w:rsidRPr="00496663">
              <w:rPr>
                <w:rFonts w:ascii="Calibri" w:hAnsi="Calibri" w:cs="Calibri"/>
                <w:lang w:val="fr-FR"/>
              </w:rPr>
              <w:t>dioxide</w:t>
            </w:r>
            <w:proofErr w:type="spellEnd"/>
            <w:r w:rsidRPr="00496663">
              <w:rPr>
                <w:rFonts w:ascii="Calibri" w:hAnsi="Calibri" w:cs="Calibri"/>
                <w:lang w:val="fr-FR"/>
              </w:rPr>
              <w:t xml:space="preserve"> </w:t>
            </w:r>
            <w:proofErr w:type="spellStart"/>
            <w:r w:rsidRPr="00496663">
              <w:rPr>
                <w:rFonts w:ascii="Calibri" w:hAnsi="Calibri" w:cs="Calibri"/>
                <w:lang w:val="fr-FR"/>
              </w:rPr>
              <w:t>equivalent</w:t>
            </w:r>
            <w:proofErr w:type="spellEnd"/>
            <w:r w:rsidRPr="00496663">
              <w:rPr>
                <w:rFonts w:ascii="Calibri" w:hAnsi="Calibri" w:cs="Calibri"/>
                <w:lang w:val="fr-FR"/>
              </w:rPr>
              <w:t xml:space="preserve"> (</w:t>
            </w:r>
            <w:proofErr w:type="spellStart"/>
            <w:r w:rsidRPr="00496663">
              <w:rPr>
                <w:rFonts w:ascii="Calibri" w:hAnsi="Calibri" w:cs="Calibri"/>
                <w:lang w:val="fr-FR"/>
              </w:rPr>
              <w:t>CO₂e</w:t>
            </w:r>
            <w:proofErr w:type="spellEnd"/>
            <w:r w:rsidRPr="00496663">
              <w:rPr>
                <w:rFonts w:ascii="Calibri" w:hAnsi="Calibri" w:cs="Calibri"/>
                <w:lang w:val="fr-FR"/>
              </w:rPr>
              <w:t>)  </w:t>
            </w:r>
          </w:p>
        </w:tc>
        <w:tc>
          <w:tcPr>
            <w:tcW w:w="5300" w:type="dxa"/>
            <w:gridSpan w:val="3"/>
            <w:shd w:val="clear" w:color="auto" w:fill="auto"/>
            <w:vAlign w:val="center"/>
          </w:tcPr>
          <w:p w14:paraId="4064936F" w14:textId="77777777" w:rsidR="003A2E5E" w:rsidRPr="00496663"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496663"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496663" w:rsidRDefault="00C66EE0" w:rsidP="00610F28">
            <w:pPr>
              <w:rPr>
                <w:rFonts w:ascii="Calibri" w:hAnsi="Calibri" w:cs="Calibri"/>
                <w:lang w:val="fr-FR"/>
              </w:rPr>
            </w:pPr>
            <w:r w:rsidRPr="00496663">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496663" w:rsidRDefault="00C66EE0" w:rsidP="00610F28">
            <w:pPr>
              <w:rPr>
                <w:rFonts w:ascii="Calibri" w:hAnsi="Calibri" w:cs="Calibri"/>
                <w:lang w:val="fr-FR"/>
              </w:rPr>
            </w:pPr>
          </w:p>
        </w:tc>
      </w:tr>
      <w:tr w:rsidR="00241257" w:rsidRPr="00F7763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496663"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496663" w:rsidRDefault="00092534" w:rsidP="00CF2E7C">
            <w:pPr>
              <w:rPr>
                <w:rFonts w:ascii="Calibri" w:hAnsi="Calibri" w:cs="Calibri"/>
                <w:lang w:val="fr-FR"/>
              </w:rPr>
            </w:pPr>
            <w:r w:rsidRPr="00496663">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496663" w:rsidRDefault="00092534" w:rsidP="00CF2E7C">
            <w:pPr>
              <w:rPr>
                <w:rFonts w:ascii="Calibri" w:hAnsi="Calibri" w:cs="Calibri"/>
                <w:lang w:val="fr-FR"/>
              </w:rPr>
            </w:pPr>
          </w:p>
        </w:tc>
      </w:tr>
      <w:tr w:rsidR="00092534" w:rsidRPr="00F7763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496663"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496663" w:rsidRDefault="00DD292A" w:rsidP="00CF2E7C">
            <w:pPr>
              <w:rPr>
                <w:rFonts w:ascii="Calibri" w:hAnsi="Calibri" w:cs="Calibri"/>
                <w:lang w:val="fr-FR"/>
              </w:rPr>
            </w:pPr>
            <w:r w:rsidRPr="00496663">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496663" w:rsidRDefault="00DD292A" w:rsidP="00CF2E7C">
            <w:pPr>
              <w:rPr>
                <w:rFonts w:ascii="Calibri" w:hAnsi="Calibri" w:cs="Calibri"/>
                <w:lang w:val="fr-FR"/>
              </w:rPr>
            </w:pPr>
          </w:p>
        </w:tc>
      </w:tr>
      <w:tr w:rsidR="00DD292A" w:rsidRPr="00F7763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18"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19"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666CF800" w:rsidR="002F0752" w:rsidRPr="00CF2E7C" w:rsidRDefault="004823E7"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D7311D4" w:rsidR="002F0752" w:rsidRPr="00CF2E7C" w:rsidRDefault="004823E7"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275FA661" w:rsidR="002F0752" w:rsidRPr="00CF2E7C" w:rsidRDefault="004823E7"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427FFF8E" w:rsidR="002F0752" w:rsidRPr="00CF2E7C" w:rsidRDefault="004823E7"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437BC912" w:rsidR="002F0752" w:rsidRPr="00CF2E7C" w:rsidRDefault="004823E7"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1B7E8F70" w:rsidR="002F0752" w:rsidRPr="00CF2E7C" w:rsidRDefault="004823E7"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61517801" w:rsidR="002F0752" w:rsidRPr="00CF2E7C" w:rsidRDefault="004823E7"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0D75A0AC" w:rsidR="002F0752" w:rsidRPr="00CF2E7C" w:rsidRDefault="004823E7"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4A1A5F2" w:rsidR="002F0752" w:rsidRPr="00CF2E7C" w:rsidRDefault="004823E7"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8682F58" w:rsidR="002F0752" w:rsidRPr="00CF2E7C" w:rsidRDefault="004823E7"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4FED3BAD" w:rsidR="002F0752" w:rsidRPr="00CF2E7C" w:rsidRDefault="004823E7"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EDD933F" w:rsidR="002F0752" w:rsidRPr="00CF2E7C" w:rsidRDefault="004823E7"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280B493A"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A74FB5" w:rsidRDefault="002F0752" w:rsidP="00CF2E7C">
            <w:pPr>
              <w:rPr>
                <w:rFonts w:ascii="Calibri" w:hAnsi="Calibri" w:cs="Calibri"/>
              </w:rPr>
            </w:pPr>
            <w:r w:rsidRPr="00A74FB5">
              <w:rPr>
                <w:rFonts w:ascii="Calibri" w:hAnsi="Calibri" w:cs="Calibri"/>
              </w:rPr>
              <w:t>Other</w:t>
            </w:r>
          </w:p>
        </w:tc>
        <w:tc>
          <w:tcPr>
            <w:tcW w:w="1482" w:type="dxa"/>
            <w:vAlign w:val="center"/>
          </w:tcPr>
          <w:p w14:paraId="43CDB72B" w14:textId="2FC32B2F" w:rsidR="002F0752" w:rsidRPr="00A74FB5"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47017BAD"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2BEE2977" w:rsidR="002F0752" w:rsidRPr="00CF2E7C" w:rsidRDefault="004823E7"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54050113" w:rsidR="002F0752" w:rsidRPr="00CF2E7C" w:rsidRDefault="004823E7" w:rsidP="00CF2E7C">
            <w:pPr>
              <w:rPr>
                <w:rFonts w:ascii="Calibri" w:hAnsi="Calibri" w:cs="Calibri"/>
              </w:rPr>
            </w:pPr>
            <w:r>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6AB98B00" w:rsidR="002F0752" w:rsidRPr="00CF2E7C" w:rsidRDefault="004823E7"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5F0708EC" w:rsidR="002F0752" w:rsidRPr="00CF2E7C" w:rsidRDefault="004823E7"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6B1677DB" w:rsidR="002F0752" w:rsidRPr="00CF2E7C" w:rsidRDefault="004823E7"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58010C3C" w:rsidR="002F0752" w:rsidRPr="00CF2E7C" w:rsidRDefault="004823E7"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3B3F476B" w:rsidR="002F0752" w:rsidRPr="00CF2E7C" w:rsidRDefault="004823E7"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8CC4B50" w:rsidR="002F0752" w:rsidRPr="00CF2E7C" w:rsidRDefault="004823E7" w:rsidP="00CF2E7C">
            <w:pPr>
              <w:rPr>
                <w:rFonts w:ascii="Calibri" w:hAnsi="Calibri" w:cs="Calibri"/>
              </w:rPr>
            </w:pPr>
            <w:r>
              <w:rPr>
                <w:rFonts w:ascii="Calibri" w:hAnsi="Calibri" w:cs="Calibri"/>
              </w:rPr>
              <w:t>X</w:t>
            </w: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1CDA1FD"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50722530" w:rsidR="002F0752" w:rsidRPr="00CF2E7C" w:rsidRDefault="004823E7"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46097648" w:rsidR="002F0752" w:rsidRPr="00CF2E7C" w:rsidRDefault="004823E7"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40B8BCF" w:rsidR="002F0752" w:rsidRPr="00CF2E7C" w:rsidRDefault="004823E7"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9FF745D" w:rsidR="002F0752" w:rsidRPr="00CF2E7C" w:rsidRDefault="004823E7"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582010D7" w:rsidR="002F0752" w:rsidRPr="00CF2E7C" w:rsidRDefault="004823E7"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6132E816" w:rsidR="002F0752" w:rsidRPr="00CF2E7C" w:rsidRDefault="004823E7"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5D3F55D6" w:rsidR="002F0752" w:rsidRPr="00CF2E7C" w:rsidRDefault="000B537E"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61CCE72E" w:rsidR="002F0752" w:rsidRPr="00CF2E7C" w:rsidRDefault="000B537E"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0CCDB3E5" w:rsidR="002F0752" w:rsidRPr="00CF2E7C" w:rsidRDefault="000B537E"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4A7B060C" w:rsidR="002F0752" w:rsidRPr="00CF2E7C" w:rsidRDefault="000B537E"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6CA3DA7D" w:rsidR="002F0752" w:rsidRPr="00CF2E7C" w:rsidRDefault="000B537E"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6501EF55" w:rsidR="002F0752" w:rsidRPr="00CF2E7C" w:rsidRDefault="000B537E"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16478EE3" w:rsidR="002F0752" w:rsidRPr="00CF2E7C" w:rsidRDefault="000B537E"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5241495F" w:rsidR="002F0752" w:rsidRPr="00CF2E7C" w:rsidRDefault="000B537E"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1CCD2FF" w14:textId="32EFDAD8" w:rsidR="00C67EED" w:rsidRDefault="000B537E" w:rsidP="00CF2E7C">
            <w:pPr>
              <w:rPr>
                <w:rFonts w:ascii="Calibri" w:hAnsi="Calibri" w:cs="Calibri"/>
              </w:rPr>
            </w:pPr>
            <w:r>
              <w:rPr>
                <w:rFonts w:ascii="Calibri" w:hAnsi="Calibri" w:cs="Calibri"/>
              </w:rPr>
              <w:t xml:space="preserve">Pursuant to </w:t>
            </w:r>
            <w:r w:rsidR="00C976E6">
              <w:rPr>
                <w:rFonts w:ascii="Calibri" w:hAnsi="Calibri" w:cs="Calibri"/>
              </w:rPr>
              <w:t>A</w:t>
            </w:r>
            <w:r>
              <w:rPr>
                <w:rFonts w:ascii="Calibri" w:hAnsi="Calibri" w:cs="Calibri"/>
              </w:rPr>
              <w:t xml:space="preserve">rticle 1 of the Regulation, </w:t>
            </w:r>
            <w:r w:rsidR="00267352">
              <w:rPr>
                <w:rFonts w:ascii="Calibri" w:hAnsi="Calibri" w:cs="Calibri"/>
              </w:rPr>
              <w:t>it</w:t>
            </w:r>
            <w:r>
              <w:rPr>
                <w:rFonts w:ascii="Calibri" w:hAnsi="Calibri" w:cs="Calibri"/>
              </w:rPr>
              <w:t xml:space="preserve"> applies to:</w:t>
            </w:r>
          </w:p>
          <w:p w14:paraId="469DEF88" w14:textId="1FF28B18" w:rsidR="002F0752" w:rsidRDefault="00C67EED" w:rsidP="00C67EED">
            <w:pPr>
              <w:pStyle w:val="ListParagraph"/>
              <w:numPr>
                <w:ilvl w:val="0"/>
                <w:numId w:val="51"/>
              </w:numPr>
              <w:rPr>
                <w:rFonts w:ascii="Calibri" w:hAnsi="Calibri" w:cs="Calibri"/>
              </w:rPr>
            </w:pPr>
            <w:r w:rsidRPr="00C67EED">
              <w:rPr>
                <w:rFonts w:ascii="Calibri" w:hAnsi="Calibri" w:cs="Calibri"/>
              </w:rPr>
              <w:t>EU-based companies operating exploration and production assets of crude oil, natural gas, and coal.</w:t>
            </w:r>
            <w:r w:rsidR="00267352">
              <w:rPr>
                <w:rFonts w:ascii="Calibri" w:hAnsi="Calibri" w:cs="Calibri"/>
              </w:rPr>
              <w:t xml:space="preserve"> </w:t>
            </w:r>
            <w:r w:rsidR="00267352" w:rsidRPr="00267352">
              <w:rPr>
                <w:rFonts w:ascii="Calibri" w:hAnsi="Calibri" w:cs="Calibri"/>
              </w:rPr>
              <w:t>More specifically, th</w:t>
            </w:r>
            <w:r w:rsidR="00267352">
              <w:rPr>
                <w:rFonts w:ascii="Calibri" w:hAnsi="Calibri" w:cs="Calibri"/>
              </w:rPr>
              <w:t>e</w:t>
            </w:r>
            <w:r w:rsidR="00267352" w:rsidRPr="00267352">
              <w:rPr>
                <w:rFonts w:ascii="Calibri" w:hAnsi="Calibri" w:cs="Calibri"/>
              </w:rPr>
              <w:t xml:space="preserve"> </w:t>
            </w:r>
            <w:r w:rsidR="00267352">
              <w:rPr>
                <w:rFonts w:ascii="Calibri" w:hAnsi="Calibri" w:cs="Calibri"/>
              </w:rPr>
              <w:t>R</w:t>
            </w:r>
            <w:r w:rsidR="00267352" w:rsidRPr="00267352">
              <w:rPr>
                <w:rFonts w:ascii="Calibri" w:hAnsi="Calibri" w:cs="Calibri"/>
              </w:rPr>
              <w:t>egulation concerns:</w:t>
            </w:r>
          </w:p>
          <w:p w14:paraId="0C7C9EAE" w14:textId="77777777" w:rsidR="00267352" w:rsidRDefault="00267352" w:rsidP="00267352">
            <w:pPr>
              <w:pStyle w:val="ListParagraph"/>
              <w:numPr>
                <w:ilvl w:val="1"/>
                <w:numId w:val="51"/>
              </w:numPr>
              <w:rPr>
                <w:rFonts w:ascii="Calibri" w:hAnsi="Calibri" w:cs="Calibri"/>
              </w:rPr>
            </w:pPr>
            <w:r w:rsidRPr="00C67EED">
              <w:rPr>
                <w:rFonts w:ascii="Calibri" w:hAnsi="Calibri" w:cs="Calibri"/>
              </w:rPr>
              <w:t>oil and fossil gas exploration and production, and fossil gas gathering and processing;</w:t>
            </w:r>
          </w:p>
          <w:p w14:paraId="23E027E5" w14:textId="77777777" w:rsidR="00267352" w:rsidRDefault="00267352" w:rsidP="00267352">
            <w:pPr>
              <w:pStyle w:val="ListParagraph"/>
              <w:numPr>
                <w:ilvl w:val="1"/>
                <w:numId w:val="51"/>
              </w:numPr>
              <w:rPr>
                <w:rFonts w:ascii="Calibri" w:hAnsi="Calibri" w:cs="Calibri"/>
              </w:rPr>
            </w:pPr>
            <w:r w:rsidRPr="00C67EED">
              <w:rPr>
                <w:rFonts w:ascii="Calibri" w:hAnsi="Calibri" w:cs="Calibri"/>
              </w:rPr>
              <w:t>inactive wells, temporarily plugged wells and permanently plugged and abandoned wells;</w:t>
            </w:r>
          </w:p>
          <w:p w14:paraId="696735E2" w14:textId="77777777" w:rsidR="00267352" w:rsidRDefault="00267352" w:rsidP="00267352">
            <w:pPr>
              <w:pStyle w:val="ListParagraph"/>
              <w:numPr>
                <w:ilvl w:val="1"/>
                <w:numId w:val="51"/>
              </w:numPr>
              <w:rPr>
                <w:rFonts w:ascii="Calibri" w:hAnsi="Calibri" w:cs="Calibri"/>
              </w:rPr>
            </w:pPr>
            <w:r w:rsidRPr="00C67EED">
              <w:rPr>
                <w:rFonts w:ascii="Calibri" w:hAnsi="Calibri" w:cs="Calibri"/>
              </w:rPr>
              <w:t>natural gas transmission and distribution, excluding metering systems at final consumption points and the parts of service lines between the distribution network and the metering system located on the property of final customers, as well as underground storage and operations in LNG facilities; and</w:t>
            </w:r>
          </w:p>
          <w:p w14:paraId="7A2F87E0" w14:textId="7D053D53" w:rsidR="00267352" w:rsidRPr="00267352" w:rsidRDefault="00267352" w:rsidP="00267352">
            <w:pPr>
              <w:pStyle w:val="ListParagraph"/>
              <w:numPr>
                <w:ilvl w:val="1"/>
                <w:numId w:val="51"/>
              </w:numPr>
              <w:rPr>
                <w:rFonts w:ascii="Calibri" w:hAnsi="Calibri" w:cs="Calibri"/>
              </w:rPr>
            </w:pPr>
            <w:r w:rsidRPr="00C67EED">
              <w:rPr>
                <w:rFonts w:ascii="Calibri" w:hAnsi="Calibri" w:cs="Calibri"/>
              </w:rPr>
              <w:t>active underground coal mines and surface coal mines, closed underground coal mines and abandoned underground coal mines.</w:t>
            </w:r>
          </w:p>
          <w:p w14:paraId="4F753F56" w14:textId="1E64E407" w:rsidR="000B537E" w:rsidRPr="00267352" w:rsidRDefault="00C67EED" w:rsidP="00267352">
            <w:pPr>
              <w:pStyle w:val="ListParagraph"/>
              <w:numPr>
                <w:ilvl w:val="0"/>
                <w:numId w:val="51"/>
              </w:numPr>
              <w:rPr>
                <w:rFonts w:ascii="Calibri" w:hAnsi="Calibri" w:cs="Calibri"/>
              </w:rPr>
            </w:pPr>
            <w:r w:rsidRPr="00C67EED">
              <w:rPr>
                <w:rFonts w:ascii="Calibri" w:hAnsi="Calibri" w:cs="Calibri"/>
              </w:rPr>
              <w:t xml:space="preserve">EU importers as </w:t>
            </w:r>
            <w:r w:rsidR="00267352">
              <w:rPr>
                <w:rFonts w:ascii="Calibri" w:hAnsi="Calibri" w:cs="Calibri"/>
              </w:rPr>
              <w:t>the Regulation</w:t>
            </w:r>
            <w:r w:rsidRPr="00C67EED">
              <w:rPr>
                <w:rFonts w:ascii="Calibri" w:hAnsi="Calibri" w:cs="Calibri"/>
              </w:rPr>
              <w:t xml:space="preserve"> applies to "</w:t>
            </w:r>
            <w:r w:rsidRPr="00C67EED">
              <w:rPr>
                <w:rFonts w:ascii="Calibri" w:hAnsi="Calibri" w:cs="Calibri"/>
                <w:i/>
                <w:iCs/>
              </w:rPr>
              <w:t>methane emissions occurring outside the Union, with respect to crude oil, natural gas and coal placed on the Union market.</w:t>
            </w:r>
            <w:r w:rsidRPr="00C67EED">
              <w:rPr>
                <w:rFonts w:ascii="Calibri" w:hAnsi="Calibri" w:cs="Calibri"/>
              </w:rPr>
              <w:t>"</w:t>
            </w:r>
          </w:p>
        </w:tc>
      </w:tr>
      <w:tr w:rsidR="002F0752" w:rsidRPr="00CF2E7C" w14:paraId="5509ED5B" w14:textId="77777777" w:rsidTr="00CF2E7C">
        <w:trPr>
          <w:trHeight w:val="800"/>
        </w:trPr>
        <w:tc>
          <w:tcPr>
            <w:tcW w:w="1066" w:type="dxa"/>
            <w:vAlign w:val="center"/>
          </w:tcPr>
          <w:p w14:paraId="3A706723" w14:textId="77777777" w:rsidR="002F0752" w:rsidRPr="00550E19" w:rsidRDefault="002F0752" w:rsidP="00CF2E7C">
            <w:pPr>
              <w:rPr>
                <w:rFonts w:ascii="Calibri" w:hAnsi="Calibri" w:cs="Calibri"/>
                <w:b/>
              </w:rPr>
            </w:pPr>
            <w:r w:rsidRPr="00550E19">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550E19" w:rsidRDefault="002F0752" w:rsidP="00CF2E7C">
            <w:pPr>
              <w:rPr>
                <w:rFonts w:ascii="Calibri" w:hAnsi="Calibri" w:cs="Calibri"/>
              </w:rPr>
            </w:pPr>
            <w:r w:rsidRPr="00550E19">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lastRenderedPageBreak/>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496663"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496663" w:rsidRDefault="002F0752" w:rsidP="00CF2E7C">
            <w:pPr>
              <w:rPr>
                <w:rFonts w:ascii="Calibri" w:hAnsi="Calibri" w:cs="Calibri"/>
                <w:lang w:val="fr-FR"/>
              </w:rPr>
            </w:pPr>
            <w:r w:rsidRPr="00496663">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496663" w:rsidRDefault="002F0752" w:rsidP="00CF2E7C">
            <w:pPr>
              <w:rPr>
                <w:rFonts w:ascii="Calibri" w:hAnsi="Calibri" w:cs="Calibri"/>
                <w:lang w:val="fr-FR"/>
              </w:rPr>
            </w:pPr>
          </w:p>
        </w:tc>
      </w:tr>
      <w:tr w:rsidR="002F0752" w:rsidRPr="00F7763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5BF94703" w:rsidR="002F0752" w:rsidRPr="00CF2E7C" w:rsidRDefault="00C67EED" w:rsidP="00CF2E7C">
            <w:pPr>
              <w:rPr>
                <w:rFonts w:ascii="Calibri" w:hAnsi="Calibri" w:cs="Calibri"/>
              </w:rPr>
            </w:pPr>
            <w:r>
              <w:rPr>
                <w:rFonts w:ascii="Calibri" w:hAnsi="Calibri" w:cs="Calibri"/>
              </w:rPr>
              <w:t>X</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02401919"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00F8F6C" w:rsidR="002F0752" w:rsidRPr="00CF2E7C" w:rsidRDefault="00267352" w:rsidP="00CF2E7C">
            <w:pPr>
              <w:rPr>
                <w:rFonts w:ascii="Calibri" w:hAnsi="Calibri" w:cs="Calibri"/>
              </w:rPr>
            </w:pPr>
            <w:r>
              <w:rPr>
                <w:rFonts w:ascii="Calibri" w:hAnsi="Calibri" w:cs="Calibri"/>
              </w:rPr>
              <w:t>X</w:t>
            </w: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11D70DFB"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8482B5A" w14:textId="634C58AF" w:rsidR="002E0EE4" w:rsidRPr="00732C39" w:rsidRDefault="002E0EE4" w:rsidP="002E0EE4">
            <w:pPr>
              <w:rPr>
                <w:rFonts w:cstheme="minorHAnsi"/>
                <w:color w:val="000000" w:themeColor="text1"/>
              </w:rPr>
            </w:pPr>
            <w:r w:rsidRPr="00732C39">
              <w:rPr>
                <w:rFonts w:cstheme="minorHAnsi"/>
                <w:color w:val="000000" w:themeColor="text1"/>
              </w:rPr>
              <w:t>E</w:t>
            </w:r>
            <w:r w:rsidRPr="00732C39">
              <w:rPr>
                <w:rFonts w:cstheme="minorHAnsi"/>
                <w:color w:val="000000" w:themeColor="text1"/>
              </w:rPr>
              <w:t>xemptions from certain obligations under this Regulation should be considered for offshore wells located at greater water depth, if robust evidence can be provided that the impact on the climate of potential methane emissions from those wells is highly likely to be negligible</w:t>
            </w:r>
            <w:r w:rsidR="00732C39" w:rsidRPr="00732C39">
              <w:rPr>
                <w:rFonts w:cstheme="minorHAnsi"/>
                <w:color w:val="000000" w:themeColor="text1"/>
              </w:rPr>
              <w:t>:</w:t>
            </w:r>
          </w:p>
          <w:p w14:paraId="54657C91" w14:textId="77777777" w:rsidR="002F0752" w:rsidRPr="00732C39" w:rsidRDefault="002E0EE4" w:rsidP="002E0EE4">
            <w:pPr>
              <w:pStyle w:val="ListParagraph"/>
              <w:numPr>
                <w:ilvl w:val="0"/>
                <w:numId w:val="51"/>
              </w:numPr>
              <w:rPr>
                <w:rFonts w:cstheme="minorHAnsi"/>
                <w:color w:val="000000" w:themeColor="text1"/>
              </w:rPr>
            </w:pPr>
            <w:r w:rsidRPr="00732C39">
              <w:rPr>
                <w:rFonts w:cstheme="minorHAnsi"/>
                <w:color w:val="000000" w:themeColor="text1"/>
              </w:rPr>
              <w:t>Article 14 of the Regulation states that: “</w:t>
            </w:r>
            <w:r w:rsidRPr="00732C39">
              <w:rPr>
                <w:rFonts w:cstheme="minorHAnsi"/>
                <w:i/>
                <w:iCs/>
                <w:color w:val="000000" w:themeColor="text1"/>
              </w:rPr>
              <w:t>the competent authorities may decide to exempt offshore oil and gas components located in their territory at a water depth greater than 700 metres from the requirements under this Article if the operator concerned can provide robust evidence that the impact on the climate of potential methane emissions from those components is highly likely to be negligible</w:t>
            </w:r>
            <w:r w:rsidRPr="00732C39">
              <w:rPr>
                <w:rFonts w:cstheme="minorHAnsi"/>
                <w:color w:val="000000" w:themeColor="text1"/>
              </w:rPr>
              <w:t>”</w:t>
            </w:r>
            <w:r w:rsidRPr="00732C39">
              <w:rPr>
                <w:rFonts w:cstheme="minorHAnsi"/>
                <w:color w:val="000000" w:themeColor="text1"/>
              </w:rPr>
              <w:t>.</w:t>
            </w:r>
          </w:p>
          <w:p w14:paraId="02BC177D" w14:textId="77777777" w:rsidR="00732C39" w:rsidRPr="00732C39" w:rsidRDefault="002E0EE4" w:rsidP="00732C39">
            <w:pPr>
              <w:pStyle w:val="ListParagraph"/>
              <w:numPr>
                <w:ilvl w:val="0"/>
                <w:numId w:val="51"/>
              </w:numPr>
              <w:rPr>
                <w:rFonts w:cstheme="minorHAnsi"/>
                <w:color w:val="000000" w:themeColor="text1"/>
              </w:rPr>
            </w:pPr>
            <w:r w:rsidRPr="00732C39">
              <w:rPr>
                <w:rFonts w:cstheme="minorHAnsi"/>
                <w:color w:val="000000" w:themeColor="text1"/>
              </w:rPr>
              <w:t>Article 18 also states that: “</w:t>
            </w:r>
            <w:r w:rsidRPr="00732C39">
              <w:rPr>
                <w:rFonts w:cstheme="minorHAnsi"/>
                <w:i/>
                <w:iCs/>
                <w:color w:val="000000" w:themeColor="text1"/>
              </w:rPr>
              <w:t xml:space="preserve">the </w:t>
            </w:r>
            <w:r w:rsidRPr="00732C39">
              <w:rPr>
                <w:rFonts w:cstheme="minorHAnsi"/>
                <w:i/>
                <w:iCs/>
                <w:color w:val="000000" w:themeColor="text1"/>
              </w:rPr>
              <w:t>competent authorities may decide to exempt offshore oil and gas wells located at a water depth greater than 700 metres from the requirements under paragraph 3 or 9 of this Article, if robust evidence can be provided that the impact on the climate of potential methane emissions from those wells is highly likely to be negligible</w:t>
            </w:r>
            <w:r w:rsidRPr="00732C39">
              <w:rPr>
                <w:rFonts w:cstheme="minorHAnsi"/>
                <w:color w:val="000000" w:themeColor="text1"/>
              </w:rPr>
              <w:t>” and “</w:t>
            </w:r>
            <w:r w:rsidRPr="00732C39">
              <w:rPr>
                <w:rFonts w:cstheme="minorHAnsi"/>
                <w:i/>
                <w:iCs/>
                <w:color w:val="000000" w:themeColor="text1"/>
              </w:rPr>
              <w:t>subject to the approval of the competent authorities, offshore temporarily plugged wells and permanently plugged and abandoned wells located at water depth between 200 and 700 metres may be exempted from the requirements under paragraph 3 or 9 of this Article, where the operator can demonstrate that the impact on the climate of potential methane emissions from those wells is highly likely to be negligible by a reference to an environmental impact assessment conducted before drilling or after accidents during operations</w:t>
            </w:r>
            <w:r w:rsidRPr="00732C39">
              <w:rPr>
                <w:rFonts w:cstheme="minorHAnsi"/>
                <w:color w:val="000000" w:themeColor="text1"/>
              </w:rPr>
              <w:t>”.</w:t>
            </w:r>
          </w:p>
          <w:p w14:paraId="1592D7DF" w14:textId="10699E36" w:rsidR="002E0EE4" w:rsidRPr="00732C39" w:rsidRDefault="00732C39" w:rsidP="00732C39">
            <w:pPr>
              <w:rPr>
                <w:rFonts w:cstheme="minorHAnsi"/>
                <w:color w:val="000000" w:themeColor="text1"/>
              </w:rPr>
            </w:pPr>
            <w:r w:rsidRPr="00732C39">
              <w:rPr>
                <w:rFonts w:cstheme="minorHAnsi"/>
                <w:color w:val="000000" w:themeColor="text1"/>
              </w:rPr>
              <w:t>In addition, i</w:t>
            </w:r>
            <w:r w:rsidR="002E0EE4" w:rsidRPr="00732C39">
              <w:rPr>
                <w:rFonts w:cstheme="minorHAnsi"/>
                <w:color w:val="000000" w:themeColor="text1"/>
              </w:rPr>
              <w:t xml:space="preserve">t should be possible to exempt </w:t>
            </w:r>
            <w:r w:rsidRPr="00732C39">
              <w:rPr>
                <w:rFonts w:cstheme="minorHAnsi"/>
                <w:color w:val="000000" w:themeColor="text1"/>
              </w:rPr>
              <w:t xml:space="preserve">fully flooded underground coal mines </w:t>
            </w:r>
            <w:r w:rsidR="002E0EE4" w:rsidRPr="00732C39">
              <w:rPr>
                <w:rFonts w:cstheme="minorHAnsi"/>
                <w:color w:val="000000" w:themeColor="text1"/>
              </w:rPr>
              <w:t>from quantification obligations, where duly justified</w:t>
            </w:r>
            <w:r w:rsidRPr="00732C39">
              <w:rPr>
                <w:rFonts w:cstheme="minorHAnsi"/>
                <w:color w:val="000000" w:themeColor="text1"/>
              </w:rPr>
              <w:t xml:space="preserve">. </w:t>
            </w:r>
            <w:r w:rsidR="002E0EE4" w:rsidRPr="00732C39">
              <w:rPr>
                <w:rFonts w:cstheme="minorHAnsi"/>
                <w:color w:val="000000" w:themeColor="text1"/>
              </w:rPr>
              <w:t xml:space="preserve">Article 25 </w:t>
            </w:r>
            <w:r w:rsidR="002E0EE4" w:rsidRPr="00732C39">
              <w:rPr>
                <w:rFonts w:cstheme="minorHAnsi"/>
                <w:color w:val="000000" w:themeColor="text1"/>
              </w:rPr>
              <w:t xml:space="preserve">of the Regulation </w:t>
            </w:r>
            <w:r w:rsidR="002E0EE4" w:rsidRPr="00732C39">
              <w:rPr>
                <w:rFonts w:cstheme="minorHAnsi"/>
                <w:color w:val="000000" w:themeColor="text1"/>
              </w:rPr>
              <w:t>states that: “</w:t>
            </w:r>
            <w:r w:rsidR="002E0EE4" w:rsidRPr="00732C39">
              <w:rPr>
                <w:rFonts w:cstheme="minorHAnsi"/>
                <w:i/>
                <w:iCs/>
                <w:color w:val="000000" w:themeColor="text1"/>
              </w:rPr>
              <w:t xml:space="preserve">Upon request from the responsible party, competent authorities may exempt closed underground coal mines and abandoned underground coal mines from the requirements of paragraphs 2 and 3 of this Article and Part 1, point 1.5, of Annex VIII where the responsible party </w:t>
            </w:r>
            <w:r w:rsidR="002E0EE4" w:rsidRPr="00732C39">
              <w:rPr>
                <w:rFonts w:cstheme="minorHAnsi"/>
                <w:i/>
                <w:iCs/>
                <w:color w:val="000000" w:themeColor="text1"/>
              </w:rPr>
              <w:lastRenderedPageBreak/>
              <w:t>demonstrates that those mines have been fully flooded for at least 10 years prior to the date of the request</w:t>
            </w:r>
            <w:r w:rsidRPr="00732C39">
              <w:rPr>
                <w:rFonts w:cstheme="minorHAnsi"/>
                <w:color w:val="000000" w:themeColor="text1"/>
              </w:rPr>
              <w:t>”</w:t>
            </w:r>
            <w:r w:rsidR="002E0EE4" w:rsidRPr="00732C39">
              <w:rPr>
                <w:rFonts w:cstheme="minorHAnsi"/>
                <w:color w:val="000000" w:themeColor="text1"/>
              </w:rPr>
              <w:t>.</w:t>
            </w:r>
          </w:p>
          <w:p w14:paraId="53AB06AB" w14:textId="6759ABA1" w:rsidR="00732C39" w:rsidRPr="00732C39" w:rsidRDefault="00732C39" w:rsidP="00732C39">
            <w:pPr>
              <w:pStyle w:val="oj-normal"/>
              <w:spacing w:after="0" w:line="312" w:lineRule="atLeast"/>
              <w:rPr>
                <w:rFonts w:asciiTheme="minorHAnsi" w:hAnsiTheme="minorHAnsi" w:cstheme="minorHAnsi"/>
                <w:color w:val="000000" w:themeColor="text1"/>
              </w:rPr>
            </w:pPr>
            <w:r w:rsidRPr="00732C39">
              <w:rPr>
                <w:rFonts w:asciiTheme="minorHAnsi" w:hAnsiTheme="minorHAnsi" w:cstheme="minorHAnsi"/>
                <w:color w:val="000000" w:themeColor="text1"/>
              </w:rPr>
              <w:t>Finally, Article 28 of the Regulation states that: “</w:t>
            </w:r>
            <w:r w:rsidRPr="00732C39">
              <w:rPr>
                <w:rFonts w:asciiTheme="minorHAnsi" w:hAnsiTheme="minorHAnsi" w:cstheme="minorHAnsi"/>
                <w:i/>
                <w:iCs/>
                <w:color w:val="000000" w:themeColor="text1"/>
              </w:rPr>
              <w:t>Importers shall be exempt from the reporting obligations set out in paragraphs 1 and 2 where they import crude oil, natural gas or coal from a third country for which equivalence has been established in accordance with paragraph 6</w:t>
            </w:r>
            <w:r w:rsidRPr="00732C39">
              <w:rPr>
                <w:rFonts w:asciiTheme="minorHAnsi" w:hAnsiTheme="minorHAnsi" w:cstheme="minorHAnsi"/>
                <w:color w:val="000000" w:themeColor="text1"/>
              </w:rPr>
              <w:t>”</w:t>
            </w:r>
            <w:r w:rsidRPr="00732C39">
              <w:rPr>
                <w:rFonts w:asciiTheme="minorHAnsi" w:hAnsiTheme="minorHAnsi" w:cstheme="minorHAnsi"/>
                <w:color w:val="000000" w:themeColor="text1"/>
              </w:rPr>
              <w:t>.</w:t>
            </w: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lastRenderedPageBreak/>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69B520CD" w:rsidR="002F0752" w:rsidRPr="00CF2E7C" w:rsidRDefault="00780A57"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3DE2C01E" w:rsidR="002F0752" w:rsidRPr="00CF2E7C" w:rsidRDefault="00780A57" w:rsidP="00CF2E7C">
            <w:pPr>
              <w:rPr>
                <w:rFonts w:ascii="Calibri" w:hAnsi="Calibri" w:cs="Calibri"/>
              </w:rPr>
            </w:pPr>
            <w:r>
              <w:rPr>
                <w:rFonts w:ascii="Calibri" w:hAnsi="Calibri" w:cs="Calibri"/>
              </w:rPr>
              <w:t>X</w:t>
            </w: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4895241" w14:textId="206EEC6C" w:rsidR="00F14D35" w:rsidRDefault="00EC55D0" w:rsidP="00F14D35">
            <w:pPr>
              <w:rPr>
                <w:rFonts w:ascii="Calibri" w:hAnsi="Calibri" w:cs="Calibri"/>
              </w:rPr>
            </w:pPr>
            <w:r>
              <w:rPr>
                <w:rFonts w:ascii="Calibri" w:hAnsi="Calibri" w:cs="Calibri"/>
              </w:rPr>
              <w:t xml:space="preserve">The Regulation </w:t>
            </w:r>
            <w:r w:rsidR="00023E89">
              <w:rPr>
                <w:rFonts w:ascii="Calibri" w:hAnsi="Calibri" w:cs="Calibri"/>
              </w:rPr>
              <w:t>provides</w:t>
            </w:r>
            <w:r w:rsidR="00F14D35">
              <w:rPr>
                <w:rFonts w:ascii="Calibri" w:hAnsi="Calibri" w:cs="Calibri"/>
              </w:rPr>
              <w:t xml:space="preserve"> that:</w:t>
            </w:r>
          </w:p>
          <w:p w14:paraId="08A09877" w14:textId="76D4C768" w:rsidR="00F14D35" w:rsidRDefault="00037F69" w:rsidP="00F14D35">
            <w:pPr>
              <w:pStyle w:val="ListParagraph"/>
              <w:numPr>
                <w:ilvl w:val="0"/>
                <w:numId w:val="49"/>
              </w:numPr>
              <w:rPr>
                <w:rFonts w:ascii="Calibri" w:hAnsi="Calibri" w:cs="Calibri"/>
              </w:rPr>
            </w:pPr>
            <w:r>
              <w:rPr>
                <w:rFonts w:ascii="Calibri" w:hAnsi="Calibri" w:cs="Calibri"/>
              </w:rPr>
              <w:t>Article 33 §1</w:t>
            </w:r>
            <w:r w:rsidR="008D64B9">
              <w:rPr>
                <w:rFonts w:ascii="Calibri" w:hAnsi="Calibri" w:cs="Calibri"/>
              </w:rPr>
              <w:t xml:space="preserve">: </w:t>
            </w:r>
            <w:r w:rsidR="00F14D35" w:rsidRPr="00F14D35">
              <w:rPr>
                <w:rFonts w:ascii="Calibri" w:hAnsi="Calibri" w:cs="Calibri"/>
              </w:rPr>
              <w:t>Member States shall lay down the rules on penalties applicable to infringements of this Regulation and shall take all measures necessary to ensure that they are implemented.</w:t>
            </w:r>
            <w:r w:rsidR="00F14D35">
              <w:rPr>
                <w:rFonts w:ascii="Calibri" w:hAnsi="Calibri" w:cs="Calibri"/>
              </w:rPr>
              <w:t xml:space="preserve"> </w:t>
            </w:r>
            <w:r w:rsidR="00F14D35" w:rsidRPr="00F14D35">
              <w:rPr>
                <w:rFonts w:ascii="Calibri" w:hAnsi="Calibri" w:cs="Calibri"/>
              </w:rPr>
              <w:t>The penalties provided for shall be effective, proportionate and dissuasive and shall include at least:</w:t>
            </w:r>
          </w:p>
          <w:p w14:paraId="06E37F33" w14:textId="1537A0C5" w:rsidR="00F14D35" w:rsidRDefault="00F14D35" w:rsidP="00F14D35">
            <w:pPr>
              <w:pStyle w:val="ListParagraph"/>
              <w:numPr>
                <w:ilvl w:val="1"/>
                <w:numId w:val="49"/>
              </w:numPr>
              <w:rPr>
                <w:rFonts w:ascii="Calibri" w:hAnsi="Calibri" w:cs="Calibri"/>
              </w:rPr>
            </w:pPr>
            <w:r w:rsidRPr="008D64B9">
              <w:rPr>
                <w:rFonts w:ascii="Calibri" w:hAnsi="Calibri" w:cs="Calibri"/>
                <w:b/>
                <w:bCs/>
              </w:rPr>
              <w:t>fines</w:t>
            </w:r>
            <w:r w:rsidRPr="00F14D35">
              <w:rPr>
                <w:rFonts w:ascii="Calibri" w:hAnsi="Calibri" w:cs="Calibri"/>
              </w:rPr>
              <w:t xml:space="preserve"> proportionate to the environmental damage and impact on human safety and health, set at a level which (i)</w:t>
            </w:r>
            <w:r w:rsidR="00842DC6">
              <w:rPr>
                <w:rFonts w:ascii="Calibri" w:hAnsi="Calibri" w:cs="Calibri"/>
              </w:rPr>
              <w:t xml:space="preserve"> </w:t>
            </w:r>
            <w:r w:rsidRPr="00F14D35">
              <w:rPr>
                <w:rFonts w:ascii="Calibri" w:hAnsi="Calibri" w:cs="Calibri"/>
              </w:rPr>
              <w:t>at least deprives those responsible of the economic benefits derived from the infringement in an effective way</w:t>
            </w:r>
            <w:r w:rsidR="005858EC">
              <w:rPr>
                <w:rFonts w:ascii="Calibri" w:hAnsi="Calibri" w:cs="Calibri"/>
              </w:rPr>
              <w:t xml:space="preserve">, </w:t>
            </w:r>
            <w:r w:rsidRPr="00F14D35">
              <w:rPr>
                <w:rFonts w:ascii="Calibri" w:hAnsi="Calibri" w:cs="Calibri"/>
              </w:rPr>
              <w:t>and (ii) gradually increases for repeated serious infringements</w:t>
            </w:r>
            <w:r w:rsidR="007E6A92">
              <w:rPr>
                <w:rFonts w:ascii="Calibri" w:hAnsi="Calibri" w:cs="Calibri"/>
              </w:rPr>
              <w:t>; and</w:t>
            </w:r>
          </w:p>
          <w:p w14:paraId="629D44C6" w14:textId="267FE52D" w:rsidR="00F14D35" w:rsidRDefault="00F14D35" w:rsidP="00F14D35">
            <w:pPr>
              <w:pStyle w:val="ListParagraph"/>
              <w:numPr>
                <w:ilvl w:val="1"/>
                <w:numId w:val="49"/>
              </w:numPr>
              <w:rPr>
                <w:rFonts w:ascii="Calibri" w:hAnsi="Calibri" w:cs="Calibri"/>
              </w:rPr>
            </w:pPr>
            <w:r w:rsidRPr="008D64B9">
              <w:rPr>
                <w:rFonts w:ascii="Calibri" w:hAnsi="Calibri" w:cs="Calibri"/>
                <w:b/>
                <w:bCs/>
              </w:rPr>
              <w:t>periodic penalty payments</w:t>
            </w:r>
            <w:r w:rsidRPr="00F14D35">
              <w:rPr>
                <w:rFonts w:ascii="Calibri" w:hAnsi="Calibri" w:cs="Calibri"/>
              </w:rPr>
              <w:t xml:space="preserve"> to compel operators, undertakings, mine operators or importers to put an end to an infringement, comply with a decision ordering remedial actions or corrective measures, provide information or submit to an inspection, as applicable.</w:t>
            </w:r>
          </w:p>
          <w:p w14:paraId="47DB4036" w14:textId="0FAAEA6A" w:rsidR="00F14D35" w:rsidRDefault="00037F69" w:rsidP="00F14D35">
            <w:pPr>
              <w:pStyle w:val="ListParagraph"/>
              <w:numPr>
                <w:ilvl w:val="0"/>
                <w:numId w:val="49"/>
              </w:numPr>
              <w:rPr>
                <w:rFonts w:ascii="Calibri" w:hAnsi="Calibri" w:cs="Calibri"/>
              </w:rPr>
            </w:pPr>
            <w:r>
              <w:rPr>
                <w:rFonts w:ascii="Calibri" w:hAnsi="Calibri" w:cs="Calibri"/>
              </w:rPr>
              <w:t>Article 33 §2</w:t>
            </w:r>
            <w:r w:rsidR="008D64B9">
              <w:rPr>
                <w:rFonts w:ascii="Calibri" w:hAnsi="Calibri" w:cs="Calibri"/>
              </w:rPr>
              <w:t>:</w:t>
            </w:r>
            <w:r>
              <w:rPr>
                <w:rFonts w:ascii="Calibri" w:hAnsi="Calibri" w:cs="Calibri"/>
              </w:rPr>
              <w:t xml:space="preserve"> </w:t>
            </w:r>
            <w:r w:rsidR="00F14D35" w:rsidRPr="00F14D35">
              <w:rPr>
                <w:rFonts w:ascii="Calibri" w:hAnsi="Calibri" w:cs="Calibri"/>
              </w:rPr>
              <w:t>Member States shall, in accordance with national law, ensure that the competent authorities have the power to impose at least the following administrative penalties</w:t>
            </w:r>
            <w:r w:rsidR="008D64B9">
              <w:rPr>
                <w:rFonts w:ascii="Calibri" w:hAnsi="Calibri" w:cs="Calibri"/>
              </w:rPr>
              <w:t>:</w:t>
            </w:r>
          </w:p>
          <w:p w14:paraId="3A68CC1C" w14:textId="4311C3BA" w:rsidR="00F14D35" w:rsidRDefault="00F14D35" w:rsidP="00F14D35">
            <w:pPr>
              <w:pStyle w:val="ListParagraph"/>
              <w:numPr>
                <w:ilvl w:val="1"/>
                <w:numId w:val="49"/>
              </w:numPr>
              <w:rPr>
                <w:rFonts w:ascii="Calibri" w:hAnsi="Calibri" w:cs="Calibri"/>
              </w:rPr>
            </w:pPr>
            <w:r w:rsidRPr="00F14D35">
              <w:rPr>
                <w:rFonts w:ascii="Calibri" w:hAnsi="Calibri" w:cs="Calibri"/>
              </w:rPr>
              <w:t xml:space="preserve">adopt a decision </w:t>
            </w:r>
            <w:r w:rsidRPr="008D64B9">
              <w:rPr>
                <w:rFonts w:ascii="Calibri" w:hAnsi="Calibri" w:cs="Calibri"/>
                <w:b/>
                <w:bCs/>
              </w:rPr>
              <w:t>requiring the person to bring the infringement to an end</w:t>
            </w:r>
            <w:r w:rsidRPr="00F14D35">
              <w:rPr>
                <w:rFonts w:ascii="Calibri" w:hAnsi="Calibri" w:cs="Calibri"/>
              </w:rPr>
              <w:t>;</w:t>
            </w:r>
          </w:p>
          <w:p w14:paraId="6CAE55D7" w14:textId="394DC2E9" w:rsidR="00F14D35" w:rsidRDefault="00F14D35" w:rsidP="00F14D35">
            <w:pPr>
              <w:pStyle w:val="ListParagraph"/>
              <w:numPr>
                <w:ilvl w:val="1"/>
                <w:numId w:val="49"/>
              </w:numPr>
              <w:rPr>
                <w:rFonts w:ascii="Calibri" w:hAnsi="Calibri" w:cs="Calibri"/>
              </w:rPr>
            </w:pPr>
            <w:r w:rsidRPr="00F14D35">
              <w:rPr>
                <w:rFonts w:ascii="Calibri" w:hAnsi="Calibri" w:cs="Calibri"/>
              </w:rPr>
              <w:lastRenderedPageBreak/>
              <w:t xml:space="preserve">order the </w:t>
            </w:r>
            <w:r w:rsidRPr="008D64B9">
              <w:rPr>
                <w:rFonts w:ascii="Calibri" w:hAnsi="Calibri" w:cs="Calibri"/>
                <w:b/>
                <w:bCs/>
              </w:rPr>
              <w:t>confiscation of the profits gained or losses avoided due to the infringements insofar as they can be determined</w:t>
            </w:r>
            <w:r w:rsidRPr="00F14D35">
              <w:rPr>
                <w:rFonts w:ascii="Calibri" w:hAnsi="Calibri" w:cs="Calibri"/>
              </w:rPr>
              <w:t>;</w:t>
            </w:r>
          </w:p>
          <w:p w14:paraId="72876B8C" w14:textId="1F17DEC1" w:rsidR="00F14D35" w:rsidRDefault="00037F69" w:rsidP="00F14D35">
            <w:pPr>
              <w:pStyle w:val="ListParagraph"/>
              <w:numPr>
                <w:ilvl w:val="1"/>
                <w:numId w:val="49"/>
              </w:numPr>
              <w:rPr>
                <w:rFonts w:ascii="Calibri" w:hAnsi="Calibri" w:cs="Calibri"/>
              </w:rPr>
            </w:pPr>
            <w:r w:rsidRPr="00037F69">
              <w:rPr>
                <w:rFonts w:ascii="Calibri" w:hAnsi="Calibri" w:cs="Calibri"/>
              </w:rPr>
              <w:t xml:space="preserve">issue </w:t>
            </w:r>
            <w:r w:rsidRPr="008D64B9">
              <w:rPr>
                <w:rFonts w:ascii="Calibri" w:hAnsi="Calibri" w:cs="Calibri"/>
                <w:b/>
                <w:bCs/>
              </w:rPr>
              <w:t>public warnings or notices</w:t>
            </w:r>
            <w:r w:rsidRPr="00037F69">
              <w:rPr>
                <w:rFonts w:ascii="Calibri" w:hAnsi="Calibri" w:cs="Calibri"/>
              </w:rPr>
              <w:t>;</w:t>
            </w:r>
          </w:p>
          <w:p w14:paraId="0685519A" w14:textId="03097E22" w:rsidR="00037F69" w:rsidRDefault="00037F69" w:rsidP="00F14D35">
            <w:pPr>
              <w:pStyle w:val="ListParagraph"/>
              <w:numPr>
                <w:ilvl w:val="1"/>
                <w:numId w:val="49"/>
              </w:numPr>
              <w:rPr>
                <w:rFonts w:ascii="Calibri" w:hAnsi="Calibri" w:cs="Calibri"/>
              </w:rPr>
            </w:pPr>
            <w:r w:rsidRPr="00037F69">
              <w:rPr>
                <w:rFonts w:ascii="Calibri" w:hAnsi="Calibri" w:cs="Calibri"/>
              </w:rPr>
              <w:t xml:space="preserve">adopt a decision imposing </w:t>
            </w:r>
            <w:r w:rsidRPr="007E6A92">
              <w:rPr>
                <w:rFonts w:ascii="Calibri" w:hAnsi="Calibri" w:cs="Calibri"/>
                <w:b/>
                <w:bCs/>
              </w:rPr>
              <w:t>periodic penalty payments</w:t>
            </w:r>
            <w:r w:rsidRPr="00037F69">
              <w:rPr>
                <w:rFonts w:ascii="Calibri" w:hAnsi="Calibri" w:cs="Calibri"/>
              </w:rPr>
              <w:t>;</w:t>
            </w:r>
            <w:r w:rsidR="005858EC">
              <w:rPr>
                <w:rFonts w:ascii="Calibri" w:hAnsi="Calibri" w:cs="Calibri"/>
              </w:rPr>
              <w:t xml:space="preserve"> and</w:t>
            </w:r>
          </w:p>
          <w:p w14:paraId="447AA35B" w14:textId="121F5CCB" w:rsidR="007E6A92" w:rsidRPr="007E6A92" w:rsidRDefault="00037F69" w:rsidP="007E6A92">
            <w:pPr>
              <w:pStyle w:val="ListParagraph"/>
              <w:numPr>
                <w:ilvl w:val="1"/>
                <w:numId w:val="49"/>
              </w:numPr>
              <w:rPr>
                <w:rFonts w:ascii="Calibri" w:hAnsi="Calibri" w:cs="Calibri"/>
              </w:rPr>
            </w:pPr>
            <w:r w:rsidRPr="00037F69">
              <w:rPr>
                <w:rFonts w:ascii="Calibri" w:hAnsi="Calibri" w:cs="Calibri"/>
              </w:rPr>
              <w:t xml:space="preserve">adopt a decision imposing </w:t>
            </w:r>
            <w:r w:rsidRPr="007E6A92">
              <w:rPr>
                <w:rFonts w:ascii="Calibri" w:hAnsi="Calibri" w:cs="Calibri"/>
                <w:b/>
                <w:bCs/>
              </w:rPr>
              <w:t>administrative fines</w:t>
            </w:r>
            <w:r w:rsidR="007E6A92" w:rsidRPr="007E6A92">
              <w:rPr>
                <w:rFonts w:ascii="Calibri" w:hAnsi="Calibri" w:cs="Calibri"/>
              </w:rPr>
              <w:t xml:space="preserve"> which (i) </w:t>
            </w:r>
            <w:r w:rsidR="007E6A92" w:rsidRPr="007E6A92">
              <w:rPr>
                <w:rFonts w:ascii="Calibri" w:hAnsi="Calibri" w:cs="Calibri"/>
              </w:rPr>
              <w:t>not exceed 20 % of the annual turnover in the preceding business year</w:t>
            </w:r>
            <w:r w:rsidR="007E6A92" w:rsidRPr="007E6A92">
              <w:rPr>
                <w:rFonts w:ascii="Calibri" w:hAnsi="Calibri" w:cs="Calibri"/>
              </w:rPr>
              <w:t xml:space="preserve"> i</w:t>
            </w:r>
            <w:r w:rsidR="007E6A92" w:rsidRPr="007E6A92">
              <w:rPr>
                <w:rFonts w:ascii="Calibri" w:hAnsi="Calibri" w:cs="Calibri"/>
              </w:rPr>
              <w:t xml:space="preserve">n the case of legal persons, </w:t>
            </w:r>
            <w:r w:rsidR="007E6A92" w:rsidRPr="007E6A92">
              <w:rPr>
                <w:rFonts w:ascii="Calibri" w:hAnsi="Calibri" w:cs="Calibri"/>
              </w:rPr>
              <w:t xml:space="preserve">and (ii) </w:t>
            </w:r>
            <w:r w:rsidR="007E6A92" w:rsidRPr="007E6A92">
              <w:rPr>
                <w:rFonts w:ascii="Calibri" w:hAnsi="Calibri" w:cs="Calibri"/>
              </w:rPr>
              <w:t>not exceed 20 % of the annual income in the preceding calendar year</w:t>
            </w:r>
            <w:r w:rsidR="007E6A92" w:rsidRPr="007E6A92">
              <w:rPr>
                <w:rFonts w:ascii="Calibri" w:hAnsi="Calibri" w:cs="Calibri"/>
              </w:rPr>
              <w:t xml:space="preserve"> i</w:t>
            </w:r>
            <w:r w:rsidR="007E6A92" w:rsidRPr="007E6A92">
              <w:rPr>
                <w:rFonts w:ascii="Calibri" w:hAnsi="Calibri" w:cs="Calibri"/>
              </w:rPr>
              <w:t>n the case of natural persons.</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06C36073"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1057C19F"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108DEDC1" w:rsidR="002F0752" w:rsidRPr="00CF2E7C" w:rsidRDefault="009E14BA"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858EC" w:rsidRPr="00CF2E7C" w14:paraId="20F26E68" w14:textId="77777777" w:rsidTr="00CF2E7C">
        <w:trPr>
          <w:trHeight w:val="1020"/>
        </w:trPr>
        <w:tc>
          <w:tcPr>
            <w:tcW w:w="1066" w:type="dxa"/>
            <w:vAlign w:val="center"/>
          </w:tcPr>
          <w:p w14:paraId="762E3C5D" w14:textId="77777777" w:rsidR="005858EC" w:rsidRPr="00CF2E7C" w:rsidRDefault="005858EC" w:rsidP="005858EC">
            <w:pPr>
              <w:rPr>
                <w:rFonts w:ascii="Calibri" w:hAnsi="Calibri" w:cs="Calibri"/>
              </w:rPr>
            </w:pPr>
          </w:p>
        </w:tc>
        <w:tc>
          <w:tcPr>
            <w:tcW w:w="9374" w:type="dxa"/>
            <w:gridSpan w:val="5"/>
            <w:shd w:val="clear" w:color="auto" w:fill="auto"/>
            <w:vAlign w:val="center"/>
          </w:tcPr>
          <w:p w14:paraId="66CEA73B" w14:textId="29527C0D" w:rsidR="005858EC" w:rsidRPr="00CF2E7C" w:rsidRDefault="005858EC" w:rsidP="005858EC">
            <w:pPr>
              <w:rPr>
                <w:rFonts w:ascii="Calibri" w:hAnsi="Calibri" w:cs="Calibri"/>
              </w:rPr>
            </w:pPr>
            <w:r>
              <w:rPr>
                <w:rFonts w:ascii="Calibri" w:hAnsi="Calibri" w:cs="Calibri"/>
              </w:rPr>
              <w:t>The Regulation entered into force on 4 August 2024 and will be implemented gradually over the coming years.</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2FE6CB9F" w:rsidR="002F0752" w:rsidRPr="00CF2E7C" w:rsidRDefault="009E14BA"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lastRenderedPageBreak/>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5858EC" w:rsidRPr="00CF2E7C" w14:paraId="6219A7D5" w14:textId="77777777" w:rsidTr="00CF2E7C">
        <w:trPr>
          <w:trHeight w:val="1020"/>
        </w:trPr>
        <w:tc>
          <w:tcPr>
            <w:tcW w:w="1066" w:type="dxa"/>
            <w:vAlign w:val="center"/>
          </w:tcPr>
          <w:p w14:paraId="4E1CDD70" w14:textId="77777777" w:rsidR="005858EC" w:rsidRPr="00CF2E7C" w:rsidRDefault="005858EC" w:rsidP="005858EC">
            <w:pPr>
              <w:rPr>
                <w:rFonts w:ascii="Calibri" w:hAnsi="Calibri" w:cs="Calibri"/>
              </w:rPr>
            </w:pPr>
          </w:p>
        </w:tc>
        <w:tc>
          <w:tcPr>
            <w:tcW w:w="9374" w:type="dxa"/>
            <w:gridSpan w:val="5"/>
            <w:shd w:val="clear" w:color="auto" w:fill="auto"/>
            <w:vAlign w:val="center"/>
          </w:tcPr>
          <w:p w14:paraId="4467EDC6" w14:textId="3027ED32" w:rsidR="005858EC" w:rsidRPr="00CF2E7C" w:rsidRDefault="005858EC" w:rsidP="005858EC">
            <w:pPr>
              <w:rPr>
                <w:rFonts w:ascii="Calibri" w:hAnsi="Calibri" w:cs="Calibri"/>
              </w:rPr>
            </w:pPr>
            <w:r>
              <w:rPr>
                <w:rFonts w:ascii="Calibri" w:hAnsi="Calibri" w:cs="Calibri"/>
              </w:rPr>
              <w:t>The Regulation entered into force on 4 August 2024 and will be implemented gradually over the coming years.</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024271EB" w:rsidR="002F0752" w:rsidRPr="00CF2E7C" w:rsidRDefault="009E14BA"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3E5E974" w14:textId="6EDD5EE1" w:rsidR="002F0752" w:rsidRDefault="009E14BA" w:rsidP="00CF2E7C">
            <w:pPr>
              <w:rPr>
                <w:rFonts w:ascii="Calibri" w:hAnsi="Calibri" w:cs="Calibri"/>
              </w:rPr>
            </w:pPr>
            <w:r>
              <w:rPr>
                <w:rFonts w:ascii="Calibri" w:hAnsi="Calibri" w:cs="Calibri"/>
              </w:rPr>
              <w:t xml:space="preserve">Pursuant to </w:t>
            </w:r>
            <w:r w:rsidR="00646897">
              <w:rPr>
                <w:rFonts w:ascii="Calibri" w:hAnsi="Calibri" w:cs="Calibri"/>
              </w:rPr>
              <w:t>A</w:t>
            </w:r>
            <w:r>
              <w:rPr>
                <w:rFonts w:ascii="Calibri" w:hAnsi="Calibri" w:cs="Calibri"/>
              </w:rPr>
              <w:t>rticle 29, 6</w:t>
            </w:r>
            <w:r w:rsidR="00646897">
              <w:rPr>
                <w:rFonts w:ascii="Calibri" w:hAnsi="Calibri" w:cs="Calibri"/>
              </w:rPr>
              <w:t xml:space="preserve"> o</w:t>
            </w:r>
            <w:r>
              <w:rPr>
                <w:rFonts w:ascii="Calibri" w:hAnsi="Calibri" w:cs="Calibri"/>
              </w:rPr>
              <w:t>f the Regulation</w:t>
            </w:r>
            <w:r w:rsidR="00646897">
              <w:rPr>
                <w:rFonts w:ascii="Calibri" w:hAnsi="Calibri" w:cs="Calibri"/>
              </w:rPr>
              <w:t>, “</w:t>
            </w:r>
            <w:r w:rsidRPr="00FC79F3">
              <w:rPr>
                <w:rFonts w:ascii="Calibri" w:hAnsi="Calibri" w:cs="Calibri"/>
                <w:i/>
                <w:iCs/>
              </w:rPr>
              <w:t>the Commission shall adopt delegated acts […] to supplement this Regulation by setting out the maximum methane intensity values associated with crude oil, natural gas and coal placed on the Union market at the level of the producer. Those delegated acts shall be consistent with the methodology for calculating the methane intensity of the production of crude oil, natural gas and coal placed on the Union market set out in accordance with this Article. Those delegated acts shall also specify different methane intensity classes for crude oil, natural gas and coal. Those maximum methane intensity values shall be determined separately for crude oil, natural gas and coal, covering the best perfor</w:t>
            </w:r>
            <w:r w:rsidR="00FC79F3" w:rsidRPr="00FC79F3">
              <w:rPr>
                <w:rFonts w:ascii="Calibri" w:hAnsi="Calibri" w:cs="Calibri"/>
                <w:i/>
                <w:iCs/>
              </w:rPr>
              <w:t>ming class or classes. Those maximum methane intensity values and methane intensity classes shall take into account the different sources, production processes and site conditions and shall be set at levels that promote reductions of the global methane emissions in relation to the crude oil, natural gas and coal placed on the Union market, while preserving the security of energy supply at Union and national level, ensuring a balanced distribution of the volumes of crude oil, natural gas and coal placed on the Union market as well as non-discriminatory treatment, and protecting the competitiveness of the Union’s economy.</w:t>
            </w:r>
            <w:r w:rsidR="00FC79F3">
              <w:rPr>
                <w:rFonts w:ascii="Calibri" w:hAnsi="Calibri" w:cs="Calibri"/>
              </w:rPr>
              <w:t>”</w:t>
            </w:r>
          </w:p>
          <w:p w14:paraId="5402670F" w14:textId="7F644D3E" w:rsidR="00FC79F3" w:rsidRPr="00CF2E7C" w:rsidRDefault="00151B4B" w:rsidP="00CF2E7C">
            <w:pPr>
              <w:rPr>
                <w:rFonts w:ascii="Calibri" w:hAnsi="Calibri" w:cs="Calibri"/>
              </w:rPr>
            </w:pPr>
            <w:r w:rsidRPr="00151B4B">
              <w:rPr>
                <w:rFonts w:ascii="Calibri" w:hAnsi="Calibri" w:cs="Calibri"/>
              </w:rPr>
              <w:t>The Commission has not yet adopted delegated acts setting the maximum methane intensity.</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lastRenderedPageBreak/>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2E11C93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B6104C4"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5400BF79"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3BBE70EE"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13FF2A7D" w:rsidR="00BD5856" w:rsidRPr="00CF2E7C" w:rsidRDefault="00BD5856" w:rsidP="00CF2E7C">
            <w:pPr>
              <w:rPr>
                <w:rFonts w:ascii="Calibri" w:hAnsi="Calibri" w:cs="Calibri"/>
              </w:rPr>
            </w:pPr>
            <w:r>
              <w:rPr>
                <w:rFonts w:ascii="Calibri" w:hAnsi="Calibri" w:cs="Calibri"/>
              </w:rPr>
              <w:t xml:space="preserve"> </w:t>
            </w: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0E045BAC" w:rsidR="002F0752" w:rsidRPr="00CF2E7C" w:rsidRDefault="00FF1F03"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6C622CCC"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4B843BD2"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0D5D7836"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2AF7CC38"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55D96AE2"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10E653F2"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lastRenderedPageBreak/>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C9F802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6F2F1758"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2AB5545C" w:rsidR="002F0752" w:rsidRPr="33822AF7" w:rsidRDefault="00597F9B"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097210C9" w:rsidR="002F0752" w:rsidRPr="33822AF7" w:rsidRDefault="00597F9B"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lastRenderedPageBreak/>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6B01707D" w:rsidR="002F0752" w:rsidRPr="00CF2E7C" w:rsidRDefault="00597F9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3832D6B2" w:rsidR="00876B8A" w:rsidRPr="00876B8A" w:rsidRDefault="00876B8A" w:rsidP="002241E7">
            <w:pPr>
              <w:rPr>
                <w:rFonts w:ascii="Calibri" w:eastAsia="Calibri" w:hAnsi="Calibri" w:cs="Calibri"/>
                <w:color w:val="000000" w:themeColor="text1"/>
              </w:rPr>
            </w:pPr>
            <w:r>
              <w:rPr>
                <w:rFonts w:ascii="Calibri" w:eastAsia="Calibri" w:hAnsi="Calibri" w:cs="Calibri"/>
                <w:color w:val="000000" w:themeColor="text1"/>
              </w:rPr>
              <w:t xml:space="preserve">For the </w:t>
            </w:r>
            <w:r w:rsidR="00A22012">
              <w:rPr>
                <w:rFonts w:ascii="Calibri" w:eastAsia="Calibri" w:hAnsi="Calibri" w:cs="Calibri"/>
                <w:color w:val="000000" w:themeColor="text1"/>
              </w:rPr>
              <w:t>oil and ga</w:t>
            </w:r>
            <w:r w:rsidR="00B70FAC">
              <w:rPr>
                <w:rFonts w:ascii="Calibri" w:eastAsia="Calibri" w:hAnsi="Calibri" w:cs="Calibri"/>
                <w:color w:val="000000" w:themeColor="text1"/>
              </w:rPr>
              <w:t>s</w:t>
            </w:r>
            <w:r w:rsidR="00A22012">
              <w:rPr>
                <w:rFonts w:ascii="Calibri" w:eastAsia="Calibri" w:hAnsi="Calibri" w:cs="Calibri"/>
                <w:color w:val="000000" w:themeColor="text1"/>
              </w:rPr>
              <w:t xml:space="preserve"> sector,</w:t>
            </w:r>
            <w:r w:rsidR="002241E7">
              <w:rPr>
                <w:rFonts w:ascii="Calibri" w:eastAsia="Calibri" w:hAnsi="Calibri" w:cs="Calibri"/>
                <w:color w:val="000000" w:themeColor="text1"/>
              </w:rPr>
              <w:t xml:space="preserve"> A</w:t>
            </w:r>
            <w:r w:rsidR="00A22012">
              <w:rPr>
                <w:rFonts w:ascii="Calibri" w:eastAsia="Calibri" w:hAnsi="Calibri" w:cs="Calibri"/>
                <w:color w:val="000000" w:themeColor="text1"/>
              </w:rPr>
              <w:t>rticle 12 §5</w:t>
            </w:r>
            <w:r w:rsidR="002241E7">
              <w:rPr>
                <w:rFonts w:ascii="Calibri" w:eastAsia="Calibri" w:hAnsi="Calibri" w:cs="Calibri"/>
                <w:color w:val="000000" w:themeColor="text1"/>
              </w:rPr>
              <w:t xml:space="preserve"> of the Regulation</w:t>
            </w:r>
            <w:r w:rsidR="00A22012">
              <w:rPr>
                <w:rFonts w:ascii="Calibri" w:eastAsia="Calibri" w:hAnsi="Calibri" w:cs="Calibri"/>
                <w:color w:val="000000" w:themeColor="text1"/>
              </w:rPr>
              <w:t xml:space="preserve"> provides that: “</w:t>
            </w:r>
            <w:r w:rsidR="00A22012" w:rsidRPr="002241E7">
              <w:rPr>
                <w:rFonts w:ascii="Calibri" w:eastAsia="Calibri" w:hAnsi="Calibri" w:cs="Calibri"/>
                <w:i/>
                <w:iCs/>
                <w:color w:val="000000" w:themeColor="text1"/>
              </w:rPr>
              <w:t>The measurements and quantifications referred to in this Article shall be carried out in accordance with the standards and technical prescriptions, as applicable, established under Article 32. Until the date of application of those standards or technical prescriptions, operators and undertakings shall follow state-of-the-art industry practices and use the best technologies available for the measurement and quantification of methane emissions. In that context, operators and undertakings established in the Union may use the latest OGMP 2.0 technical guidance documents approved by 4 August 2024 for such purposes. Operators and undertakings shall provide competent authorities and verifiers with information on the standards, including European or other international standards, or methodologies used.</w:t>
            </w:r>
            <w:r w:rsidR="00A22012">
              <w:rPr>
                <w:rFonts w:ascii="Calibri" w:eastAsia="Calibri" w:hAnsi="Calibri" w:cs="Calibri"/>
                <w:color w:val="000000" w:themeColor="text1"/>
              </w:rPr>
              <w:t>”</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6F1B35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01DF16D0" w:rsidR="002F0752" w:rsidRPr="00CF2E7C" w:rsidRDefault="004F3B05"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272B794C"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5D676D49"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63D87783" w:rsidR="002F0752" w:rsidRPr="00CF2E7C" w:rsidRDefault="0058483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49B6C0B2" w:rsidR="002F0752" w:rsidRPr="00CF2E7C" w:rsidRDefault="0058483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04FEF7A6" w:rsidR="002F0752" w:rsidRPr="00CF2E7C" w:rsidRDefault="00165BB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EA03D20" w14:textId="446F5F6A"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2EB52FD9"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F9556C" w:rsidR="002F0752" w:rsidRPr="00CF2E7C" w:rsidRDefault="00D452E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1033CFBD" w:rsidR="002F0752" w:rsidRPr="00CF2E7C" w:rsidRDefault="00D452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030B52F3" w:rsidR="002F0752" w:rsidRPr="00CF2E7C" w:rsidRDefault="0058483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3CCF8035" w:rsidR="00584839" w:rsidRPr="00CF2E7C" w:rsidRDefault="00584839" w:rsidP="00584839">
            <w:pPr>
              <w:rPr>
                <w:rFonts w:ascii="Calibri" w:eastAsia="Calibri" w:hAnsi="Calibri" w:cs="Calibri"/>
                <w:color w:val="000000" w:themeColor="text1"/>
              </w:rPr>
            </w:pPr>
            <w:r>
              <w:rPr>
                <w:rFonts w:ascii="Calibri" w:eastAsia="Calibri" w:hAnsi="Calibri" w:cs="Calibri"/>
                <w:color w:val="000000" w:themeColor="text1"/>
              </w:rPr>
              <w:t xml:space="preserve">The reports that shall be made by the </w:t>
            </w:r>
            <w:r w:rsidR="001B44E5">
              <w:rPr>
                <w:rFonts w:ascii="Calibri" w:eastAsia="Calibri" w:hAnsi="Calibri" w:cs="Calibri"/>
                <w:color w:val="000000" w:themeColor="text1"/>
              </w:rPr>
              <w:t xml:space="preserve">EU </w:t>
            </w:r>
            <w:r>
              <w:rPr>
                <w:rFonts w:ascii="Calibri" w:eastAsia="Calibri" w:hAnsi="Calibri" w:cs="Calibri"/>
                <w:color w:val="000000" w:themeColor="text1"/>
              </w:rPr>
              <w:t>operators (</w:t>
            </w:r>
            <w:r w:rsidR="001B44E5">
              <w:rPr>
                <w:rFonts w:ascii="Calibri" w:eastAsia="Calibri" w:hAnsi="Calibri" w:cs="Calibri"/>
                <w:color w:val="000000" w:themeColor="text1"/>
              </w:rPr>
              <w:t>A</w:t>
            </w:r>
            <w:r>
              <w:rPr>
                <w:rFonts w:ascii="Calibri" w:eastAsia="Calibri" w:hAnsi="Calibri" w:cs="Calibri"/>
                <w:color w:val="000000" w:themeColor="text1"/>
              </w:rPr>
              <w:t>rticle 12 §2</w:t>
            </w:r>
            <w:r w:rsidR="001B44E5">
              <w:rPr>
                <w:rFonts w:ascii="Calibri" w:eastAsia="Calibri" w:hAnsi="Calibri" w:cs="Calibri"/>
                <w:color w:val="000000" w:themeColor="text1"/>
              </w:rPr>
              <w:t>:</w:t>
            </w:r>
            <w:r>
              <w:rPr>
                <w:rFonts w:ascii="Calibri" w:eastAsia="Calibri" w:hAnsi="Calibri" w:cs="Calibri"/>
                <w:color w:val="000000" w:themeColor="text1"/>
              </w:rPr>
              <w:t xml:space="preserve"> “</w:t>
            </w:r>
            <w:r w:rsidRPr="001B44E5">
              <w:rPr>
                <w:rFonts w:ascii="Calibri" w:eastAsia="Calibri" w:hAnsi="Calibri" w:cs="Calibri"/>
                <w:i/>
                <w:iCs/>
                <w:color w:val="000000" w:themeColor="text1"/>
              </w:rPr>
              <w:t>Operators and undertakings established in the Union shall submit a report to the competent authorities of the Member State where the asset is located containing quantification of source-level</w:t>
            </w:r>
            <w:r>
              <w:rPr>
                <w:rFonts w:ascii="Calibri" w:eastAsia="Calibri" w:hAnsi="Calibri" w:cs="Calibri"/>
                <w:color w:val="000000" w:themeColor="text1"/>
              </w:rPr>
              <w:t xml:space="preserve">”) shall be made available to the public pursuant </w:t>
            </w:r>
            <w:r w:rsidR="001B44E5">
              <w:rPr>
                <w:rFonts w:ascii="Calibri" w:eastAsia="Calibri" w:hAnsi="Calibri" w:cs="Calibri"/>
                <w:color w:val="000000" w:themeColor="text1"/>
              </w:rPr>
              <w:t>A</w:t>
            </w:r>
            <w:r>
              <w:rPr>
                <w:rFonts w:ascii="Calibri" w:eastAsia="Calibri" w:hAnsi="Calibri" w:cs="Calibri"/>
                <w:color w:val="000000" w:themeColor="text1"/>
              </w:rPr>
              <w:t xml:space="preserve">rticle 12§8 of the </w:t>
            </w:r>
            <w:r w:rsidR="001B44E5">
              <w:rPr>
                <w:rFonts w:ascii="Calibri" w:eastAsia="Calibri" w:hAnsi="Calibri" w:cs="Calibri"/>
                <w:color w:val="000000" w:themeColor="text1"/>
              </w:rPr>
              <w:t>R</w:t>
            </w:r>
            <w:r>
              <w:rPr>
                <w:rFonts w:ascii="Calibri" w:eastAsia="Calibri" w:hAnsi="Calibri" w:cs="Calibri"/>
                <w:color w:val="000000" w:themeColor="text1"/>
              </w:rPr>
              <w:t>egulation.</w:t>
            </w: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3E5FA2F6" w:rsidR="002F0752" w:rsidRPr="00CF2E7C" w:rsidRDefault="00B83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3A85C81B" w:rsidR="002F0752" w:rsidRPr="00CF2E7C" w:rsidRDefault="00460E2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FF93C5A" w14:textId="2AF735DD" w:rsidR="002F0752" w:rsidRDefault="001B44E5" w:rsidP="00CF2E7C">
            <w:pPr>
              <w:rPr>
                <w:rFonts w:ascii="Calibri" w:eastAsia="Calibri" w:hAnsi="Calibri" w:cs="Calibri"/>
                <w:color w:val="000000" w:themeColor="text1"/>
              </w:rPr>
            </w:pPr>
            <w:r>
              <w:rPr>
                <w:rFonts w:ascii="Calibri" w:eastAsia="Calibri" w:hAnsi="Calibri" w:cs="Calibri"/>
                <w:color w:val="000000" w:themeColor="text1"/>
              </w:rPr>
              <w:t>A</w:t>
            </w:r>
            <w:r w:rsidR="00D101FF">
              <w:rPr>
                <w:rFonts w:ascii="Calibri" w:eastAsia="Calibri" w:hAnsi="Calibri" w:cs="Calibri"/>
                <w:color w:val="000000" w:themeColor="text1"/>
              </w:rPr>
              <w:t xml:space="preserve">rticle 14 of the </w:t>
            </w:r>
            <w:r>
              <w:rPr>
                <w:rFonts w:ascii="Calibri" w:eastAsia="Calibri" w:hAnsi="Calibri" w:cs="Calibri"/>
                <w:color w:val="000000" w:themeColor="text1"/>
              </w:rPr>
              <w:t>R</w:t>
            </w:r>
            <w:r w:rsidR="00D101FF">
              <w:rPr>
                <w:rFonts w:ascii="Calibri" w:eastAsia="Calibri" w:hAnsi="Calibri" w:cs="Calibri"/>
                <w:color w:val="000000" w:themeColor="text1"/>
              </w:rPr>
              <w:t>egulation provides that:</w:t>
            </w:r>
          </w:p>
          <w:p w14:paraId="5254785F" w14:textId="249819BC" w:rsidR="00D101FF" w:rsidRDefault="00D101FF" w:rsidP="00D101FF">
            <w:pPr>
              <w:pStyle w:val="ListParagraph"/>
              <w:numPr>
                <w:ilvl w:val="0"/>
                <w:numId w:val="49"/>
              </w:numPr>
              <w:rPr>
                <w:rFonts w:ascii="Calibri" w:eastAsia="Calibri" w:hAnsi="Calibri" w:cs="Calibri"/>
                <w:color w:val="000000" w:themeColor="text1"/>
              </w:rPr>
            </w:pPr>
            <w:r>
              <w:rPr>
                <w:rFonts w:ascii="Calibri" w:eastAsia="Calibri" w:hAnsi="Calibri" w:cs="Calibri"/>
                <w:color w:val="000000" w:themeColor="text1"/>
              </w:rPr>
              <w:t>§5</w:t>
            </w:r>
            <w:r w:rsidR="001B44E5">
              <w:rPr>
                <w:rFonts w:ascii="Calibri" w:eastAsia="Calibri" w:hAnsi="Calibri" w:cs="Calibri"/>
                <w:color w:val="000000" w:themeColor="text1"/>
              </w:rPr>
              <w:t>:</w:t>
            </w:r>
            <w:r>
              <w:rPr>
                <w:rFonts w:ascii="Calibri" w:eastAsia="Calibri" w:hAnsi="Calibri" w:cs="Calibri"/>
                <w:color w:val="000000" w:themeColor="text1"/>
              </w:rPr>
              <w:t xml:space="preserve"> “</w:t>
            </w:r>
            <w:r w:rsidRPr="001B44E5">
              <w:rPr>
                <w:rFonts w:ascii="Calibri" w:eastAsia="Calibri" w:hAnsi="Calibri" w:cs="Calibri"/>
                <w:i/>
                <w:iCs/>
                <w:color w:val="000000" w:themeColor="text1"/>
              </w:rPr>
              <w:t>If, following the LDAR surveys carried out in accordance with the first subparagraph of this paragraph, 1 % or more of all the components and subcomponents in each site are leaking or the aggregated methane emissions associated with those leaks represent more than 0,08 % of the total volume of gas or 0,015 % of the total mass of crude oil processed or extracted, the operator concerned shall be subject to the obligations under paragraph 2 in that site.</w:t>
            </w:r>
            <w:r>
              <w:rPr>
                <w:rFonts w:ascii="Calibri" w:eastAsia="Calibri" w:hAnsi="Calibri" w:cs="Calibri"/>
                <w:color w:val="000000" w:themeColor="text1"/>
              </w:rPr>
              <w:t>”</w:t>
            </w:r>
          </w:p>
          <w:p w14:paraId="42E1E37E" w14:textId="77777777" w:rsidR="001313B5" w:rsidRPr="001313B5" w:rsidRDefault="00D101FF" w:rsidP="00D101FF">
            <w:pPr>
              <w:pStyle w:val="ListParagraph"/>
              <w:numPr>
                <w:ilvl w:val="0"/>
                <w:numId w:val="49"/>
              </w:numPr>
              <w:rPr>
                <w:rFonts w:ascii="Calibri" w:eastAsia="Calibri" w:hAnsi="Calibri" w:cs="Calibri"/>
                <w:color w:val="000000" w:themeColor="text1"/>
              </w:rPr>
            </w:pPr>
            <w:r>
              <w:rPr>
                <w:rFonts w:ascii="Calibri" w:eastAsia="Calibri" w:hAnsi="Calibri" w:cs="Calibri"/>
                <w:color w:val="000000" w:themeColor="text1"/>
              </w:rPr>
              <w:t>§7</w:t>
            </w:r>
            <w:r w:rsidR="001B44E5">
              <w:rPr>
                <w:rFonts w:ascii="Calibri" w:eastAsia="Calibri" w:hAnsi="Calibri" w:cs="Calibri"/>
                <w:color w:val="000000" w:themeColor="text1"/>
              </w:rPr>
              <w:t>:</w:t>
            </w:r>
            <w:r>
              <w:rPr>
                <w:rFonts w:ascii="Calibri" w:eastAsia="Calibri" w:hAnsi="Calibri" w:cs="Calibri"/>
                <w:color w:val="000000" w:themeColor="text1"/>
              </w:rPr>
              <w:t xml:space="preserve"> “</w:t>
            </w:r>
            <w:r w:rsidRPr="001B44E5">
              <w:rPr>
                <w:rFonts w:ascii="Calibri" w:eastAsia="Calibri" w:hAnsi="Calibri" w:cs="Calibri"/>
                <w:i/>
                <w:iCs/>
                <w:color w:val="000000" w:themeColor="text1"/>
              </w:rPr>
              <w:t>By 5 August 2025, the Commission shall, by means of an implementing act, specify:</w:t>
            </w:r>
          </w:p>
          <w:p w14:paraId="65FC2C3A" w14:textId="77777777" w:rsidR="001313B5" w:rsidRPr="001313B5" w:rsidRDefault="00D101FF" w:rsidP="001313B5">
            <w:pPr>
              <w:pStyle w:val="ListParagraph"/>
              <w:numPr>
                <w:ilvl w:val="1"/>
                <w:numId w:val="49"/>
              </w:numPr>
              <w:rPr>
                <w:rFonts w:ascii="Calibri" w:eastAsia="Calibri" w:hAnsi="Calibri" w:cs="Calibri"/>
                <w:color w:val="000000" w:themeColor="text1"/>
              </w:rPr>
            </w:pPr>
            <w:r w:rsidRPr="001B44E5">
              <w:rPr>
                <w:rFonts w:ascii="Calibri" w:eastAsia="Calibri" w:hAnsi="Calibri" w:cs="Calibri"/>
                <w:i/>
                <w:iCs/>
                <w:color w:val="000000" w:themeColor="text1"/>
              </w:rPr>
              <w:t>(a) the minimum detection limits and detection techniques to be employed for the different detection devices used for meeting the requirements for all components in paragraph 8</w:t>
            </w:r>
            <w:r w:rsidR="001B44E5">
              <w:rPr>
                <w:rFonts w:ascii="Calibri" w:eastAsia="Calibri" w:hAnsi="Calibri" w:cs="Calibri"/>
                <w:i/>
                <w:iCs/>
                <w:color w:val="000000" w:themeColor="text1"/>
              </w:rPr>
              <w:t>, and</w:t>
            </w:r>
          </w:p>
          <w:p w14:paraId="1D330F9E" w14:textId="4D62E51B" w:rsidR="00D101FF" w:rsidRDefault="00D101FF" w:rsidP="001313B5">
            <w:pPr>
              <w:pStyle w:val="ListParagraph"/>
              <w:numPr>
                <w:ilvl w:val="1"/>
                <w:numId w:val="49"/>
              </w:numPr>
              <w:rPr>
                <w:rFonts w:ascii="Calibri" w:eastAsia="Calibri" w:hAnsi="Calibri" w:cs="Calibri"/>
                <w:color w:val="000000" w:themeColor="text1"/>
              </w:rPr>
            </w:pPr>
            <w:r w:rsidRPr="001B44E5">
              <w:rPr>
                <w:rFonts w:ascii="Calibri" w:eastAsia="Calibri" w:hAnsi="Calibri" w:cs="Calibri"/>
                <w:i/>
                <w:iCs/>
                <w:color w:val="000000" w:themeColor="text1"/>
              </w:rPr>
              <w:t>(b) the thresholds applicable to the first step of the LDAR surveys to be used for meeting the requirements for underground components in paragraph 8.</w:t>
            </w:r>
            <w:r>
              <w:rPr>
                <w:rFonts w:ascii="Calibri" w:eastAsia="Calibri" w:hAnsi="Calibri" w:cs="Calibri"/>
                <w:color w:val="000000" w:themeColor="text1"/>
              </w:rPr>
              <w:t>”</w:t>
            </w:r>
          </w:p>
          <w:p w14:paraId="42461AEB" w14:textId="168D3F4E" w:rsidR="00014EFA" w:rsidRPr="001313B5" w:rsidRDefault="00014EFA" w:rsidP="00D101FF">
            <w:pPr>
              <w:pStyle w:val="ListParagraph"/>
              <w:numPr>
                <w:ilvl w:val="0"/>
                <w:numId w:val="49"/>
              </w:numPr>
              <w:rPr>
                <w:rFonts w:ascii="Calibri" w:eastAsia="Calibri" w:hAnsi="Calibri" w:cs="Calibri"/>
                <w:i/>
                <w:iCs/>
                <w:color w:val="000000" w:themeColor="text1"/>
              </w:rPr>
            </w:pPr>
            <w:r>
              <w:rPr>
                <w:rFonts w:ascii="Calibri" w:eastAsia="Calibri" w:hAnsi="Calibri" w:cs="Calibri"/>
                <w:color w:val="000000" w:themeColor="text1"/>
              </w:rPr>
              <w:t>§8</w:t>
            </w:r>
            <w:r w:rsidR="001B44E5">
              <w:rPr>
                <w:rFonts w:ascii="Calibri" w:eastAsia="Calibri" w:hAnsi="Calibri" w:cs="Calibri"/>
                <w:color w:val="000000" w:themeColor="text1"/>
              </w:rPr>
              <w:t>:</w:t>
            </w:r>
            <w:r>
              <w:rPr>
                <w:rFonts w:ascii="Calibri" w:eastAsia="Calibri" w:hAnsi="Calibri" w:cs="Calibri"/>
                <w:color w:val="000000" w:themeColor="text1"/>
              </w:rPr>
              <w:t xml:space="preserve"> “</w:t>
            </w:r>
            <w:r w:rsidRPr="001313B5">
              <w:rPr>
                <w:rFonts w:ascii="Calibri" w:eastAsia="Calibri" w:hAnsi="Calibri" w:cs="Calibri"/>
                <w:i/>
                <w:iCs/>
                <w:color w:val="000000" w:themeColor="text1"/>
              </w:rPr>
              <w:t>Operators shall repair or replace all components found to be emitting methane at or above the following levels at standard temperature and pressure and using detection devices in accordance with the manufacturer specifications for operation and maintenance:</w:t>
            </w:r>
          </w:p>
          <w:p w14:paraId="34E0DB2A" w14:textId="4E35A9D0" w:rsidR="00014EFA" w:rsidRPr="001313B5" w:rsidRDefault="00014EFA" w:rsidP="00014EFA">
            <w:pPr>
              <w:pStyle w:val="ListParagraph"/>
              <w:numPr>
                <w:ilvl w:val="1"/>
                <w:numId w:val="49"/>
              </w:numPr>
              <w:rPr>
                <w:rFonts w:ascii="Calibri" w:eastAsia="Calibri" w:hAnsi="Calibri" w:cs="Calibri"/>
                <w:i/>
                <w:iCs/>
                <w:color w:val="000000" w:themeColor="text1"/>
              </w:rPr>
            </w:pPr>
            <w:r w:rsidRPr="001313B5">
              <w:rPr>
                <w:rFonts w:ascii="Calibri" w:eastAsia="Calibri" w:hAnsi="Calibri" w:cs="Calibri"/>
                <w:i/>
                <w:iCs/>
                <w:color w:val="000000" w:themeColor="text1"/>
              </w:rPr>
              <w:t>(a) for type 1 LDAR surveys: 7 000 parts per million in volume of methane or 17 grams per hour of methane;</w:t>
            </w:r>
          </w:p>
          <w:p w14:paraId="14F3DF62" w14:textId="77777777" w:rsidR="001313B5" w:rsidRPr="001313B5" w:rsidRDefault="00014EFA" w:rsidP="00014EFA">
            <w:pPr>
              <w:pStyle w:val="ListParagraph"/>
              <w:numPr>
                <w:ilvl w:val="1"/>
                <w:numId w:val="49"/>
              </w:numPr>
              <w:rPr>
                <w:rFonts w:ascii="Calibri" w:eastAsia="Calibri" w:hAnsi="Calibri" w:cs="Calibri"/>
                <w:i/>
                <w:iCs/>
                <w:color w:val="000000" w:themeColor="text1"/>
              </w:rPr>
            </w:pPr>
            <w:r w:rsidRPr="001313B5">
              <w:rPr>
                <w:rFonts w:ascii="Calibri" w:eastAsia="Calibri" w:hAnsi="Calibri" w:cs="Calibri"/>
                <w:i/>
                <w:iCs/>
                <w:color w:val="000000" w:themeColor="text1"/>
              </w:rPr>
              <w:t>(b) for type 2 LDAR surveys:</w:t>
            </w:r>
          </w:p>
          <w:p w14:paraId="5A372760" w14:textId="119CDBB7" w:rsidR="001313B5" w:rsidRPr="001313B5" w:rsidRDefault="00014EFA" w:rsidP="001313B5">
            <w:pPr>
              <w:pStyle w:val="ListParagraph"/>
              <w:numPr>
                <w:ilvl w:val="2"/>
                <w:numId w:val="49"/>
              </w:numPr>
              <w:rPr>
                <w:rFonts w:ascii="Calibri" w:eastAsia="Calibri" w:hAnsi="Calibri" w:cs="Calibri"/>
                <w:i/>
                <w:iCs/>
                <w:color w:val="000000" w:themeColor="text1"/>
              </w:rPr>
            </w:pPr>
            <w:r w:rsidRPr="001313B5">
              <w:rPr>
                <w:rFonts w:ascii="Calibri" w:eastAsia="Calibri" w:hAnsi="Calibri" w:cs="Calibri"/>
                <w:i/>
                <w:iCs/>
                <w:color w:val="000000" w:themeColor="text1"/>
              </w:rPr>
              <w:t>(i) 500 parts per million in volume of methane or 1 gram per hour of methane for aboveground components and for offshore components above the sea level;</w:t>
            </w:r>
          </w:p>
          <w:p w14:paraId="185597BD" w14:textId="77777777" w:rsidR="001313B5" w:rsidRPr="001313B5" w:rsidRDefault="00014EFA" w:rsidP="001313B5">
            <w:pPr>
              <w:pStyle w:val="ListParagraph"/>
              <w:numPr>
                <w:ilvl w:val="2"/>
                <w:numId w:val="49"/>
              </w:numPr>
              <w:rPr>
                <w:rFonts w:ascii="Calibri" w:eastAsia="Calibri" w:hAnsi="Calibri" w:cs="Calibri"/>
                <w:i/>
                <w:iCs/>
                <w:color w:val="000000" w:themeColor="text1"/>
              </w:rPr>
            </w:pPr>
            <w:r w:rsidRPr="001313B5">
              <w:rPr>
                <w:rFonts w:ascii="Calibri" w:eastAsia="Calibri" w:hAnsi="Calibri" w:cs="Calibri"/>
                <w:i/>
                <w:iCs/>
                <w:color w:val="000000" w:themeColor="text1"/>
              </w:rPr>
              <w:t>(ii)</w:t>
            </w:r>
            <w:r w:rsidR="001313B5" w:rsidRPr="001313B5">
              <w:rPr>
                <w:rFonts w:ascii="Calibri" w:eastAsia="Calibri" w:hAnsi="Calibri" w:cs="Calibri"/>
                <w:i/>
                <w:iCs/>
                <w:color w:val="000000" w:themeColor="text1"/>
              </w:rPr>
              <w:t xml:space="preserve"> </w:t>
            </w:r>
            <w:r w:rsidRPr="001313B5">
              <w:rPr>
                <w:rFonts w:ascii="Calibri" w:eastAsia="Calibri" w:hAnsi="Calibri" w:cs="Calibri"/>
                <w:i/>
                <w:iCs/>
                <w:color w:val="000000" w:themeColor="text1"/>
              </w:rPr>
              <w:t>1 000 parts per million in volume of methane or 5 grams per hour of methane for the second step of LDAR surveys of underground components;</w:t>
            </w:r>
          </w:p>
          <w:p w14:paraId="147FD9A3" w14:textId="297966B0" w:rsidR="00014EFA" w:rsidRPr="00D101FF" w:rsidRDefault="00014EFA" w:rsidP="001313B5">
            <w:pPr>
              <w:pStyle w:val="ListParagraph"/>
              <w:numPr>
                <w:ilvl w:val="2"/>
                <w:numId w:val="49"/>
              </w:numPr>
              <w:rPr>
                <w:rFonts w:ascii="Calibri" w:eastAsia="Calibri" w:hAnsi="Calibri" w:cs="Calibri"/>
                <w:color w:val="000000" w:themeColor="text1"/>
              </w:rPr>
            </w:pPr>
            <w:r w:rsidRPr="001313B5">
              <w:rPr>
                <w:rFonts w:ascii="Calibri" w:eastAsia="Calibri" w:hAnsi="Calibri" w:cs="Calibri"/>
                <w:i/>
                <w:iCs/>
                <w:color w:val="000000" w:themeColor="text1"/>
              </w:rPr>
              <w:t>(iii)</w:t>
            </w:r>
            <w:r w:rsidR="001313B5" w:rsidRPr="001313B5">
              <w:rPr>
                <w:rFonts w:ascii="Calibri" w:eastAsia="Calibri" w:hAnsi="Calibri" w:cs="Calibri"/>
                <w:i/>
                <w:iCs/>
                <w:color w:val="000000" w:themeColor="text1"/>
              </w:rPr>
              <w:t xml:space="preserve"> </w:t>
            </w:r>
            <w:r w:rsidRPr="001313B5">
              <w:rPr>
                <w:rFonts w:ascii="Calibri" w:eastAsia="Calibri" w:hAnsi="Calibri" w:cs="Calibri"/>
                <w:i/>
                <w:iCs/>
                <w:color w:val="000000" w:themeColor="text1"/>
              </w:rPr>
              <w:t>7 000 parts per million in volume of methane or 17 grams per hour for offshore components below the sea level or below the seabed.</w:t>
            </w:r>
            <w:r>
              <w:rPr>
                <w:rFonts w:ascii="Calibri" w:eastAsia="Calibri" w:hAnsi="Calibri" w:cs="Calibri"/>
                <w:color w:val="000000" w:themeColor="text1"/>
              </w:rPr>
              <w:t>”</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38774C2" w:rsidR="002F0752" w:rsidRPr="00CF2E7C" w:rsidRDefault="009C27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59C6D93F"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3C891F6D" w:rsidR="002F0752" w:rsidRPr="00CF2E7C" w:rsidRDefault="009C27D3"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695E12EE" w:rsidR="002F0752" w:rsidRPr="00CF2E7C" w:rsidRDefault="00165BB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52EDD71D" w14:textId="35D6F379"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54160110" w:rsidR="002F0752" w:rsidRPr="00CF2E7C" w:rsidRDefault="00A73385"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307E3566" w:rsidR="002F0752" w:rsidRPr="00CF2E7C" w:rsidRDefault="0019239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554C1892" w:rsidR="002F0752" w:rsidRPr="00CF2E7C" w:rsidRDefault="00192398" w:rsidP="00CF2E7C">
            <w:pPr>
              <w:rPr>
                <w:rFonts w:ascii="Calibri" w:eastAsia="Calibri" w:hAnsi="Calibri" w:cs="Calibri"/>
                <w:color w:val="000000" w:themeColor="text1"/>
              </w:rPr>
            </w:pPr>
            <w:r>
              <w:rPr>
                <w:rFonts w:ascii="Calibri" w:eastAsia="Calibri" w:hAnsi="Calibri" w:cs="Calibri"/>
                <w:color w:val="000000" w:themeColor="text1"/>
              </w:rPr>
              <w:t>Annex I</w:t>
            </w:r>
            <w:r w:rsidR="00A73385">
              <w:rPr>
                <w:rFonts w:ascii="Calibri" w:eastAsia="Calibri" w:hAnsi="Calibri" w:cs="Calibri"/>
                <w:color w:val="000000" w:themeColor="text1"/>
              </w:rPr>
              <w:t xml:space="preserve"> </w:t>
            </w:r>
            <w:r w:rsidR="00694086">
              <w:rPr>
                <w:rFonts w:ascii="Calibri" w:eastAsia="Calibri" w:hAnsi="Calibri" w:cs="Calibri"/>
                <w:color w:val="000000" w:themeColor="text1"/>
              </w:rPr>
              <w:t>of the Regulation</w:t>
            </w:r>
            <w:r w:rsidR="00694086">
              <w:rPr>
                <w:rFonts w:ascii="Calibri" w:eastAsia="Calibri" w:hAnsi="Calibri" w:cs="Calibri"/>
                <w:color w:val="000000" w:themeColor="text1"/>
              </w:rPr>
              <w:t xml:space="preserve"> </w:t>
            </w:r>
            <w:r w:rsidR="00A73385">
              <w:rPr>
                <w:rFonts w:ascii="Calibri" w:eastAsia="Calibri" w:hAnsi="Calibri" w:cs="Calibri"/>
                <w:color w:val="000000" w:themeColor="text1"/>
              </w:rPr>
              <w:t>(</w:t>
            </w:r>
            <w:r w:rsidR="00A73385" w:rsidRPr="00A73385">
              <w:rPr>
                <w:rFonts w:ascii="Calibri" w:eastAsia="Calibri" w:hAnsi="Calibri" w:cs="Calibri"/>
                <w:color w:val="000000" w:themeColor="text1"/>
              </w:rPr>
              <w:t xml:space="preserve">referred to in </w:t>
            </w:r>
            <w:r w:rsidR="00694086">
              <w:rPr>
                <w:rFonts w:ascii="Calibri" w:eastAsia="Calibri" w:hAnsi="Calibri" w:cs="Calibri"/>
                <w:color w:val="000000" w:themeColor="text1"/>
              </w:rPr>
              <w:t>A</w:t>
            </w:r>
            <w:r w:rsidR="00A73385" w:rsidRPr="00A73385">
              <w:rPr>
                <w:rFonts w:ascii="Calibri" w:eastAsia="Calibri" w:hAnsi="Calibri" w:cs="Calibri"/>
                <w:color w:val="000000" w:themeColor="text1"/>
              </w:rPr>
              <w:t>rticle 14</w:t>
            </w:r>
            <w:r w:rsidR="00A73385">
              <w:rPr>
                <w:rFonts w:ascii="Calibri" w:eastAsia="Calibri" w:hAnsi="Calibri" w:cs="Calibri"/>
                <w:color w:val="000000" w:themeColor="text1"/>
              </w:rPr>
              <w:t>, §2)</w:t>
            </w:r>
            <w:r>
              <w:rPr>
                <w:rFonts w:ascii="Calibri" w:eastAsia="Calibri" w:hAnsi="Calibri" w:cs="Calibri"/>
                <w:color w:val="000000" w:themeColor="text1"/>
              </w:rPr>
              <w:t xml:space="preserve"> provides </w:t>
            </w:r>
            <w:r w:rsidRPr="00192398">
              <w:rPr>
                <w:rFonts w:ascii="Calibri" w:eastAsia="Calibri" w:hAnsi="Calibri" w:cs="Calibri"/>
                <w:color w:val="000000" w:themeColor="text1"/>
              </w:rPr>
              <w:t xml:space="preserve">for different frequencies depending on the type of survey and the type of components and </w:t>
            </w:r>
            <w:r>
              <w:rPr>
                <w:rFonts w:ascii="Calibri" w:eastAsia="Calibri" w:hAnsi="Calibri" w:cs="Calibri"/>
                <w:color w:val="000000" w:themeColor="text1"/>
              </w:rPr>
              <w:t>materi</w:t>
            </w:r>
            <w:r w:rsidR="00A73385">
              <w:rPr>
                <w:rFonts w:ascii="Calibri" w:eastAsia="Calibri" w:hAnsi="Calibri" w:cs="Calibri"/>
                <w:color w:val="000000" w:themeColor="text1"/>
              </w:rPr>
              <w:t>a</w:t>
            </w:r>
            <w:r>
              <w:rPr>
                <w:rFonts w:ascii="Calibri" w:eastAsia="Calibri" w:hAnsi="Calibri" w:cs="Calibri"/>
                <w:color w:val="000000" w:themeColor="text1"/>
              </w:rPr>
              <w:t>ls</w:t>
            </w:r>
            <w:r w:rsidRPr="00192398">
              <w:rPr>
                <w:rFonts w:ascii="Calibri" w:eastAsia="Calibri" w:hAnsi="Calibri" w:cs="Calibri"/>
                <w:color w:val="000000" w:themeColor="text1"/>
              </w:rPr>
              <w:t>.</w:t>
            </w: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C8C52B1" w:rsidR="002F0752" w:rsidRPr="00CF2E7C" w:rsidRDefault="00E91A1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15784CC9" w:rsidR="00E91A16" w:rsidRPr="00CF2E7C" w:rsidRDefault="00E91A16" w:rsidP="00E91A16">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311D4143" w:rsidR="002F0752" w:rsidRPr="00CF2E7C" w:rsidRDefault="00A733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43267B3C" w:rsidR="002F0752" w:rsidRPr="00CF2E7C" w:rsidRDefault="00694086" w:rsidP="00CF2E7C">
            <w:pPr>
              <w:rPr>
                <w:rFonts w:ascii="Calibri" w:eastAsia="Calibri" w:hAnsi="Calibri" w:cs="Calibri"/>
                <w:color w:val="000000" w:themeColor="text1"/>
              </w:rPr>
            </w:pPr>
            <w:r>
              <w:rPr>
                <w:rFonts w:ascii="Calibri" w:eastAsia="Calibri" w:hAnsi="Calibri" w:cs="Calibri"/>
                <w:color w:val="000000" w:themeColor="text1"/>
              </w:rPr>
              <w:t>Pursuant to Article 14, §9 of the Regulation, “</w:t>
            </w:r>
            <w:r w:rsidRPr="00E91A16">
              <w:rPr>
                <w:rFonts w:ascii="Calibri" w:eastAsia="Calibri" w:hAnsi="Calibri" w:cs="Calibri"/>
                <w:i/>
                <w:iCs/>
                <w:color w:val="000000" w:themeColor="text1"/>
              </w:rPr>
              <w:t xml:space="preserve">The repair or replacement of the components referred to in paragraph 8 shall take place </w:t>
            </w:r>
            <w:r w:rsidRPr="00694086">
              <w:rPr>
                <w:rFonts w:ascii="Calibri" w:eastAsia="Calibri" w:hAnsi="Calibri" w:cs="Calibri"/>
                <w:b/>
                <w:bCs/>
                <w:i/>
                <w:iCs/>
                <w:color w:val="000000" w:themeColor="text1"/>
              </w:rPr>
              <w:t>immediately</w:t>
            </w:r>
            <w:r w:rsidRPr="00E91A16">
              <w:rPr>
                <w:rFonts w:ascii="Calibri" w:eastAsia="Calibri" w:hAnsi="Calibri" w:cs="Calibri"/>
                <w:i/>
                <w:iCs/>
                <w:color w:val="000000" w:themeColor="text1"/>
              </w:rPr>
              <w:t xml:space="preserve"> after detection. If the repair cannot be carried out immediately after detection, it shall be attempted as soon as possible and no later than 5 days after detection and shall be completed within 30 days after detection. Where an operator can demonstrate that the repair or replacement would not be successful or possible within 5 days for a first attempt or where the operator expects that a complete repair would not be possible within 30 days due to safety, administrative or technical considerations, the operator shall notify the competent authorities and provide them with evidence thereof together with the repair and monitoring schedules containing at least the elements set out in Annex II no later than 12 days from the date of detection</w:t>
            </w:r>
            <w:r w:rsidRPr="00E91A16">
              <w:rPr>
                <w:rFonts w:ascii="Calibri" w:eastAsia="Calibri" w:hAnsi="Calibri" w:cs="Calibri"/>
                <w:color w:val="000000" w:themeColor="text1"/>
              </w:rPr>
              <w:t>.</w:t>
            </w:r>
            <w:r>
              <w:rPr>
                <w:rFonts w:ascii="Calibri" w:eastAsia="Calibri" w:hAnsi="Calibri" w:cs="Calibri"/>
                <w:color w:val="000000" w:themeColor="text1"/>
              </w:rPr>
              <w:t>”</w:t>
            </w: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20A30AFB" w:rsidR="002F0752" w:rsidRPr="00CF2E7C" w:rsidRDefault="00783F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2462795B" w:rsidR="002F0752" w:rsidRPr="00CF2E7C" w:rsidRDefault="00783F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1A102B11" w:rsidR="002F0752" w:rsidRPr="00CF2E7C" w:rsidRDefault="00D7202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EE6E361"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4940F07E" w:rsidR="002F0752" w:rsidRPr="00613F04" w:rsidRDefault="002F0752" w:rsidP="00613F04"/>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1C51C0A8" w:rsidR="002F0752" w:rsidRPr="00CF2E7C" w:rsidRDefault="004770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537B33CE" w:rsidR="002F0752" w:rsidRPr="00CF2E7C" w:rsidRDefault="008A020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8A020C" w:rsidRPr="00CF2E7C" w14:paraId="3726C706" w14:textId="77777777" w:rsidTr="00CF2E7C">
        <w:trPr>
          <w:trHeight w:val="300"/>
        </w:trPr>
        <w:tc>
          <w:tcPr>
            <w:tcW w:w="1066" w:type="dxa"/>
            <w:vAlign w:val="center"/>
          </w:tcPr>
          <w:p w14:paraId="59B66B1B" w14:textId="04601103" w:rsidR="008A020C" w:rsidRPr="00CF2E7C" w:rsidRDefault="008A020C" w:rsidP="008A020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8A020C" w:rsidRPr="00CF2E7C" w:rsidRDefault="008A020C" w:rsidP="008A020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51841735" w:rsidR="008A020C" w:rsidRPr="00CF2E7C" w:rsidRDefault="008A020C" w:rsidP="008A020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1274415D" w:rsidR="002F0752" w:rsidRPr="00CF2E7C" w:rsidRDefault="0015223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10FC4BCE" w:rsidR="002F0752" w:rsidRPr="0002032A" w:rsidRDefault="00152239" w:rsidP="00CF2E7C">
            <w:pPr>
              <w:rPr>
                <w:rFonts w:ascii="Calibri" w:eastAsia="Calibri" w:hAnsi="Calibri" w:cs="Calibri"/>
                <w:color w:val="000000" w:themeColor="text1"/>
              </w:rPr>
            </w:pPr>
            <w:r w:rsidRPr="0002032A">
              <w:rPr>
                <w:rFonts w:ascii="Calibri" w:eastAsia="Calibri" w:hAnsi="Calibri" w:cs="Calibri"/>
                <w:color w:val="000000" w:themeColor="text1"/>
              </w:rPr>
              <w:t>X</w:t>
            </w:r>
          </w:p>
        </w:tc>
        <w:tc>
          <w:tcPr>
            <w:tcW w:w="1632" w:type="dxa"/>
            <w:vAlign w:val="center"/>
          </w:tcPr>
          <w:p w14:paraId="53DFE6AD" w14:textId="77777777" w:rsidR="002F0752" w:rsidRPr="0002032A" w:rsidRDefault="002F0752" w:rsidP="00CF2E7C">
            <w:pPr>
              <w:rPr>
                <w:rFonts w:ascii="Calibri" w:eastAsia="Calibri" w:hAnsi="Calibri" w:cs="Calibri"/>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15AEFFC0" w:rsidR="002F0752" w:rsidRPr="0002032A" w:rsidRDefault="002E4FB8" w:rsidP="00CF2E7C">
            <w:pPr>
              <w:rPr>
                <w:rFonts w:ascii="Calibri" w:eastAsia="Calibri" w:hAnsi="Calibri" w:cs="Calibri"/>
                <w:color w:val="000000" w:themeColor="text1"/>
              </w:rPr>
            </w:pPr>
            <w:r w:rsidRPr="0002032A">
              <w:rPr>
                <w:rFonts w:ascii="Calibri" w:eastAsia="Calibri" w:hAnsi="Calibri" w:cs="Calibri"/>
                <w:color w:val="000000" w:themeColor="text1"/>
              </w:rPr>
              <w:t>X</w:t>
            </w:r>
          </w:p>
        </w:tc>
        <w:tc>
          <w:tcPr>
            <w:tcW w:w="1632" w:type="dxa"/>
            <w:vAlign w:val="center"/>
          </w:tcPr>
          <w:p w14:paraId="2BD74CF2" w14:textId="77777777" w:rsidR="002F0752" w:rsidRPr="0002032A" w:rsidRDefault="002F0752" w:rsidP="00CF2E7C">
            <w:pPr>
              <w:rPr>
                <w:rFonts w:ascii="Calibri" w:eastAsia="Calibri" w:hAnsi="Calibri" w:cs="Calibri"/>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02032A" w:rsidRDefault="002F0752" w:rsidP="00CF2E7C">
            <w:pPr>
              <w:rPr>
                <w:rFonts w:ascii="Calibri" w:eastAsia="Calibri" w:hAnsi="Calibri" w:cs="Calibri"/>
                <w:color w:val="000000" w:themeColor="text1"/>
              </w:rPr>
            </w:pPr>
          </w:p>
        </w:tc>
        <w:tc>
          <w:tcPr>
            <w:tcW w:w="1632" w:type="dxa"/>
            <w:vAlign w:val="center"/>
          </w:tcPr>
          <w:p w14:paraId="7376823E" w14:textId="5B7A95ED" w:rsidR="002F0752" w:rsidRPr="0002032A" w:rsidRDefault="002E4FB8" w:rsidP="00CF2E7C">
            <w:pPr>
              <w:rPr>
                <w:rFonts w:ascii="Calibri" w:eastAsia="Calibri" w:hAnsi="Calibri" w:cs="Calibri"/>
                <w:color w:val="000000" w:themeColor="text1"/>
              </w:rPr>
            </w:pPr>
            <w:r w:rsidRPr="0002032A">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02032A" w:rsidRDefault="002F0752" w:rsidP="00CF2E7C">
            <w:pPr>
              <w:rPr>
                <w:rFonts w:ascii="Calibri" w:eastAsia="Calibri" w:hAnsi="Calibri" w:cs="Calibri"/>
                <w:color w:val="000000" w:themeColor="text1"/>
              </w:rPr>
            </w:pPr>
          </w:p>
        </w:tc>
        <w:tc>
          <w:tcPr>
            <w:tcW w:w="1632" w:type="dxa"/>
            <w:vAlign w:val="center"/>
          </w:tcPr>
          <w:p w14:paraId="3EE4C822" w14:textId="08D68E13" w:rsidR="002F0752" w:rsidRPr="0002032A" w:rsidRDefault="002E4FB8" w:rsidP="00CF2E7C">
            <w:pPr>
              <w:rPr>
                <w:rFonts w:ascii="Calibri" w:eastAsia="Calibri" w:hAnsi="Calibri" w:cs="Calibri"/>
                <w:color w:val="000000" w:themeColor="text1"/>
              </w:rPr>
            </w:pPr>
            <w:r w:rsidRPr="0002032A">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847F58" w:rsidRDefault="002F0752" w:rsidP="00CF2E7C">
            <w:pPr>
              <w:rPr>
                <w:rFonts w:ascii="Calibri" w:eastAsia="Calibri" w:hAnsi="Calibri" w:cs="Calibri"/>
                <w:color w:val="000000" w:themeColor="text1"/>
              </w:rPr>
            </w:pPr>
            <w:r w:rsidRPr="00847F58">
              <w:rPr>
                <w:rFonts w:ascii="Calibri" w:eastAsia="Calibri" w:hAnsi="Calibri" w:cs="Calibri"/>
                <w:color w:val="000000" w:themeColor="text1"/>
              </w:rPr>
              <w:t xml:space="preserve">Royalties and/or fees for </w:t>
            </w:r>
            <w:r w:rsidRPr="00847F58">
              <w:rPr>
                <w:rFonts w:ascii="Calibri" w:eastAsia="Calibri" w:hAnsi="Calibri" w:cs="Calibri"/>
                <w:b/>
                <w:color w:val="7030A0"/>
              </w:rPr>
              <w:t>venting and/or flaring</w:t>
            </w:r>
            <w:r w:rsidRPr="00847F58" w:rsidDel="00453E44">
              <w:rPr>
                <w:rFonts w:ascii="Calibri" w:eastAsia="Calibri" w:hAnsi="Calibri" w:cs="Calibri"/>
                <w:color w:val="7030A0"/>
              </w:rPr>
              <w:t xml:space="preserve"> </w:t>
            </w:r>
          </w:p>
        </w:tc>
        <w:tc>
          <w:tcPr>
            <w:tcW w:w="1631" w:type="dxa"/>
            <w:gridSpan w:val="3"/>
            <w:vAlign w:val="center"/>
          </w:tcPr>
          <w:p w14:paraId="437D4F7B" w14:textId="32A16EB5" w:rsidR="002F0752" w:rsidRPr="00847F58" w:rsidRDefault="002F0752" w:rsidP="00CF2E7C">
            <w:pPr>
              <w:rPr>
                <w:rFonts w:ascii="Calibri" w:eastAsia="Calibri" w:hAnsi="Calibri" w:cs="Calibri"/>
                <w:b/>
                <w:bCs/>
                <w:color w:val="000000" w:themeColor="text1"/>
              </w:rPr>
            </w:pPr>
          </w:p>
        </w:tc>
        <w:tc>
          <w:tcPr>
            <w:tcW w:w="1631" w:type="dxa"/>
            <w:vAlign w:val="center"/>
          </w:tcPr>
          <w:p w14:paraId="395EEBF0" w14:textId="599AA4DC" w:rsidR="002F0752" w:rsidRPr="00847F58" w:rsidRDefault="002F0752" w:rsidP="00CF2E7C">
            <w:pPr>
              <w:rPr>
                <w:rFonts w:ascii="Calibri" w:eastAsia="Calibri" w:hAnsi="Calibri" w:cs="Calibri"/>
                <w:color w:val="000000" w:themeColor="text1"/>
              </w:rPr>
            </w:pPr>
          </w:p>
        </w:tc>
        <w:tc>
          <w:tcPr>
            <w:tcW w:w="1632" w:type="dxa"/>
            <w:vAlign w:val="center"/>
          </w:tcPr>
          <w:p w14:paraId="098E3041" w14:textId="1CB3713A" w:rsidR="002F0752" w:rsidRPr="00847F58" w:rsidRDefault="00497D1E" w:rsidP="00CF2E7C">
            <w:pPr>
              <w:rPr>
                <w:rFonts w:ascii="Calibri" w:eastAsia="Calibri" w:hAnsi="Calibri" w:cs="Calibri"/>
                <w:color w:val="000000" w:themeColor="text1"/>
              </w:rPr>
            </w:pPr>
            <w:r w:rsidRPr="00847F58">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46E2EAC2" w:rsidR="002F0752" w:rsidRPr="0002032A" w:rsidRDefault="00847F5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1A9CA965" w14:textId="2A0CC4B4" w:rsidR="002F0752" w:rsidRPr="0002032A" w:rsidRDefault="002F0752" w:rsidP="00CF2E7C">
            <w:pPr>
              <w:rPr>
                <w:rFonts w:ascii="Calibri" w:eastAsia="Calibri" w:hAnsi="Calibri" w:cs="Calibri"/>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44486C44" w:rsidR="002F0752" w:rsidRPr="0002032A" w:rsidRDefault="002B6EEF" w:rsidP="00CF2E7C">
            <w:pPr>
              <w:rPr>
                <w:rFonts w:ascii="Calibri" w:eastAsia="Calibri" w:hAnsi="Calibri" w:cs="Calibri"/>
                <w:color w:val="000000" w:themeColor="text1"/>
              </w:rPr>
            </w:pPr>
            <w:r w:rsidRPr="0002032A">
              <w:rPr>
                <w:rFonts w:ascii="Calibri" w:eastAsia="Calibri" w:hAnsi="Calibri" w:cs="Calibri"/>
                <w:color w:val="000000" w:themeColor="text1"/>
              </w:rPr>
              <w:t>X</w:t>
            </w:r>
          </w:p>
        </w:tc>
        <w:tc>
          <w:tcPr>
            <w:tcW w:w="1632" w:type="dxa"/>
            <w:vAlign w:val="center"/>
          </w:tcPr>
          <w:p w14:paraId="3650209D" w14:textId="77777777" w:rsidR="002F0752" w:rsidRPr="0002032A" w:rsidRDefault="002F0752" w:rsidP="00CF2E7C">
            <w:pPr>
              <w:rPr>
                <w:rFonts w:ascii="Calibri" w:eastAsia="Calibri" w:hAnsi="Calibri" w:cs="Calibri"/>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06DD3473" w14:textId="5C6FF94A" w:rsidR="00A41795" w:rsidRDefault="00684312" w:rsidP="00497D1E">
            <w:pPr>
              <w:pStyle w:val="ListParagraph"/>
              <w:numPr>
                <w:ilvl w:val="0"/>
                <w:numId w:val="49"/>
              </w:numPr>
              <w:rPr>
                <w:rFonts w:ascii="Calibri" w:eastAsia="Calibri" w:hAnsi="Calibri" w:cs="Calibri"/>
                <w:color w:val="000000" w:themeColor="text1"/>
              </w:rPr>
            </w:pPr>
            <w:r w:rsidRPr="0002032A">
              <w:rPr>
                <w:rFonts w:ascii="Calibri" w:eastAsia="Calibri" w:hAnsi="Calibri" w:cs="Calibri"/>
                <w:b/>
                <w:bCs/>
                <w:color w:val="000000" w:themeColor="text1"/>
              </w:rPr>
              <w:t>Prohibition of venting and flaring</w:t>
            </w:r>
            <w:r>
              <w:rPr>
                <w:rFonts w:ascii="Calibri" w:eastAsia="Calibri" w:hAnsi="Calibri" w:cs="Calibri"/>
                <w:color w:val="000000" w:themeColor="text1"/>
              </w:rPr>
              <w:t xml:space="preserve">: </w:t>
            </w:r>
            <w:r w:rsidR="0002032A">
              <w:rPr>
                <w:rFonts w:ascii="Calibri" w:eastAsia="Calibri" w:hAnsi="Calibri" w:cs="Calibri"/>
                <w:color w:val="000000" w:themeColor="text1"/>
              </w:rPr>
              <w:t>F</w:t>
            </w:r>
            <w:r w:rsidRPr="00497D1E">
              <w:rPr>
                <w:rFonts w:ascii="Calibri" w:eastAsia="Calibri" w:hAnsi="Calibri" w:cs="Calibri"/>
                <w:color w:val="000000" w:themeColor="text1"/>
              </w:rPr>
              <w:t xml:space="preserve">or the oil and gas sector, </w:t>
            </w:r>
            <w:r w:rsidR="002B6BE1">
              <w:rPr>
                <w:rFonts w:ascii="Calibri" w:eastAsia="Calibri" w:hAnsi="Calibri" w:cs="Calibri"/>
                <w:color w:val="000000" w:themeColor="text1"/>
              </w:rPr>
              <w:t>A</w:t>
            </w:r>
            <w:r w:rsidRPr="00497D1E">
              <w:rPr>
                <w:rFonts w:ascii="Calibri" w:eastAsia="Calibri" w:hAnsi="Calibri" w:cs="Calibri"/>
                <w:color w:val="000000" w:themeColor="text1"/>
              </w:rPr>
              <w:t>rticle 15, §1</w:t>
            </w:r>
            <w:r w:rsidR="0002032A">
              <w:rPr>
                <w:rFonts w:ascii="Calibri" w:eastAsia="Calibri" w:hAnsi="Calibri" w:cs="Calibri"/>
                <w:color w:val="000000" w:themeColor="text1"/>
              </w:rPr>
              <w:t xml:space="preserve"> of the Regulation states that</w:t>
            </w:r>
            <w:r w:rsidR="006843CB" w:rsidRPr="00497D1E">
              <w:rPr>
                <w:rFonts w:ascii="Calibri" w:eastAsia="Calibri" w:hAnsi="Calibri" w:cs="Calibri"/>
                <w:color w:val="000000" w:themeColor="text1"/>
              </w:rPr>
              <w:t>: “</w:t>
            </w:r>
            <w:r w:rsidR="006843CB" w:rsidRPr="00497D1E">
              <w:rPr>
                <w:rFonts w:ascii="Calibri" w:eastAsia="Calibri" w:hAnsi="Calibri" w:cs="Calibri"/>
                <w:i/>
                <w:iCs/>
                <w:color w:val="000000" w:themeColor="text1"/>
              </w:rPr>
              <w:t>Venting shall be prohibited except in the circumstances provided for in this Article. Routine flaring shall be prohibited</w:t>
            </w:r>
            <w:r w:rsidR="006843CB" w:rsidRPr="00497D1E">
              <w:rPr>
                <w:rFonts w:ascii="Calibri" w:eastAsia="Calibri" w:hAnsi="Calibri" w:cs="Calibri"/>
                <w:color w:val="000000" w:themeColor="text1"/>
              </w:rPr>
              <w:t>.”</w:t>
            </w:r>
          </w:p>
          <w:p w14:paraId="454E31B0" w14:textId="77777777" w:rsidR="00497D1E" w:rsidRPr="00497D1E" w:rsidRDefault="00497D1E" w:rsidP="00497D1E">
            <w:pPr>
              <w:pStyle w:val="ListParagraph"/>
              <w:rPr>
                <w:rFonts w:ascii="Calibri" w:eastAsia="Calibri" w:hAnsi="Calibri" w:cs="Calibri"/>
                <w:color w:val="000000" w:themeColor="text1"/>
              </w:rPr>
            </w:pPr>
          </w:p>
          <w:p w14:paraId="7A70FF86" w14:textId="3BC9253A" w:rsidR="00984628" w:rsidRPr="00497D1E" w:rsidRDefault="00984628" w:rsidP="00497D1E">
            <w:pPr>
              <w:pStyle w:val="ListParagraph"/>
              <w:numPr>
                <w:ilvl w:val="0"/>
                <w:numId w:val="49"/>
              </w:numPr>
              <w:rPr>
                <w:rFonts w:ascii="Calibri" w:eastAsia="Calibri" w:hAnsi="Calibri" w:cs="Calibri"/>
                <w:color w:val="000000" w:themeColor="text1"/>
              </w:rPr>
            </w:pPr>
            <w:r w:rsidRPr="0002032A">
              <w:rPr>
                <w:rFonts w:ascii="Calibri" w:eastAsia="Calibri" w:hAnsi="Calibri" w:cs="Calibri"/>
                <w:b/>
                <w:bCs/>
                <w:color w:val="000000" w:themeColor="text1"/>
              </w:rPr>
              <w:t>Inclusion of venting and flaring in measurement and reporting frameworks</w:t>
            </w:r>
            <w:r>
              <w:rPr>
                <w:rFonts w:ascii="Calibri" w:eastAsia="Calibri" w:hAnsi="Calibri" w:cs="Calibri"/>
                <w:color w:val="000000" w:themeColor="text1"/>
              </w:rPr>
              <w:t xml:space="preserve">: </w:t>
            </w:r>
            <w:r w:rsidRPr="00497D1E">
              <w:rPr>
                <w:rFonts w:ascii="Calibri" w:eastAsia="Calibri" w:hAnsi="Calibri" w:cs="Calibri"/>
                <w:color w:val="000000" w:themeColor="text1"/>
              </w:rPr>
              <w:t xml:space="preserve">For the oil and gas sector, </w:t>
            </w:r>
            <w:r w:rsidR="0002032A">
              <w:rPr>
                <w:rFonts w:ascii="Calibri" w:eastAsia="Calibri" w:hAnsi="Calibri" w:cs="Calibri"/>
                <w:color w:val="000000" w:themeColor="text1"/>
              </w:rPr>
              <w:t>A</w:t>
            </w:r>
            <w:r w:rsidRPr="00497D1E">
              <w:rPr>
                <w:rFonts w:ascii="Calibri" w:eastAsia="Calibri" w:hAnsi="Calibri" w:cs="Calibri"/>
                <w:color w:val="000000" w:themeColor="text1"/>
              </w:rPr>
              <w:t xml:space="preserve">rticle 16, §1 provides that </w:t>
            </w:r>
            <w:r w:rsidR="005A74B1" w:rsidRPr="00497D1E">
              <w:rPr>
                <w:rFonts w:ascii="Calibri" w:eastAsia="Calibri" w:hAnsi="Calibri" w:cs="Calibri"/>
                <w:color w:val="000000" w:themeColor="text1"/>
              </w:rPr>
              <w:t>operators shall notify the competent authorities of certain venting events and flaring events.</w:t>
            </w:r>
          </w:p>
          <w:p w14:paraId="66D846E5" w14:textId="77777777" w:rsidR="00A41795" w:rsidRDefault="00A41795" w:rsidP="00A41795">
            <w:pPr>
              <w:pStyle w:val="ListParagraph"/>
              <w:ind w:left="1440"/>
              <w:rPr>
                <w:rFonts w:ascii="Calibri" w:eastAsia="Calibri" w:hAnsi="Calibri" w:cs="Calibri"/>
                <w:color w:val="000000" w:themeColor="text1"/>
              </w:rPr>
            </w:pPr>
          </w:p>
          <w:p w14:paraId="598CBC20" w14:textId="3BC9414B" w:rsidR="00A41795" w:rsidRDefault="002E4FB8" w:rsidP="00497D1E">
            <w:pPr>
              <w:pStyle w:val="ListParagraph"/>
              <w:numPr>
                <w:ilvl w:val="0"/>
                <w:numId w:val="49"/>
              </w:numPr>
              <w:rPr>
                <w:rFonts w:ascii="Calibri" w:eastAsia="Calibri" w:hAnsi="Calibri" w:cs="Calibri"/>
                <w:color w:val="000000" w:themeColor="text1"/>
              </w:rPr>
            </w:pPr>
            <w:r w:rsidRPr="0002032A">
              <w:rPr>
                <w:rFonts w:ascii="Calibri" w:eastAsia="Calibri" w:hAnsi="Calibri" w:cs="Calibri"/>
                <w:b/>
                <w:bCs/>
                <w:color w:val="000000" w:themeColor="text1"/>
              </w:rPr>
              <w:t>Site inspections to monitor compliance</w:t>
            </w:r>
            <w:r>
              <w:rPr>
                <w:rFonts w:ascii="Calibri" w:eastAsia="Calibri" w:hAnsi="Calibri" w:cs="Calibri"/>
                <w:color w:val="000000" w:themeColor="text1"/>
              </w:rPr>
              <w:t xml:space="preserve">: Article 6 </w:t>
            </w:r>
            <w:r w:rsidRPr="002E4FB8">
              <w:rPr>
                <w:rFonts w:ascii="Calibri" w:eastAsia="Calibri" w:hAnsi="Calibri" w:cs="Calibri"/>
                <w:color w:val="000000" w:themeColor="text1"/>
              </w:rPr>
              <w:t>provides for inspections within a general framework, which covers inspections relating to venting and flaring</w:t>
            </w:r>
            <w:r w:rsidR="0002032A">
              <w:rPr>
                <w:rFonts w:ascii="Calibri" w:eastAsia="Calibri" w:hAnsi="Calibri" w:cs="Calibri"/>
                <w:color w:val="000000" w:themeColor="text1"/>
              </w:rPr>
              <w:t>.</w:t>
            </w:r>
          </w:p>
          <w:p w14:paraId="2D95F5AA" w14:textId="77777777" w:rsidR="00497D1E" w:rsidRPr="00497D1E" w:rsidRDefault="00497D1E" w:rsidP="00497D1E">
            <w:pPr>
              <w:pStyle w:val="ListParagraph"/>
              <w:rPr>
                <w:rFonts w:ascii="Calibri" w:eastAsia="Calibri" w:hAnsi="Calibri" w:cs="Calibri"/>
                <w:color w:val="000000" w:themeColor="text1"/>
              </w:rPr>
            </w:pPr>
          </w:p>
          <w:p w14:paraId="58D4DE9E" w14:textId="5D482084" w:rsidR="008B1B4D" w:rsidRPr="00497D1E" w:rsidRDefault="008B1B4D" w:rsidP="00497D1E">
            <w:pPr>
              <w:pStyle w:val="ListParagraph"/>
              <w:numPr>
                <w:ilvl w:val="0"/>
                <w:numId w:val="49"/>
              </w:numPr>
              <w:rPr>
                <w:rFonts w:ascii="Calibri" w:eastAsia="Calibri" w:hAnsi="Calibri" w:cs="Calibri"/>
                <w:color w:val="000000" w:themeColor="text1"/>
              </w:rPr>
            </w:pPr>
            <w:r w:rsidRPr="0002032A">
              <w:rPr>
                <w:rFonts w:ascii="Calibri" w:eastAsia="Calibri" w:hAnsi="Calibri" w:cs="Calibri"/>
                <w:b/>
                <w:bCs/>
                <w:color w:val="000000" w:themeColor="text1"/>
              </w:rPr>
              <w:t>Specific equipment, technologies, or operating procedures for venting</w:t>
            </w:r>
            <w:r>
              <w:rPr>
                <w:rFonts w:ascii="Calibri" w:eastAsia="Calibri" w:hAnsi="Calibri" w:cs="Calibri"/>
                <w:color w:val="000000" w:themeColor="text1"/>
              </w:rPr>
              <w:t xml:space="preserve">: </w:t>
            </w:r>
            <w:r w:rsidR="002B6EEF" w:rsidRPr="00497D1E">
              <w:rPr>
                <w:rFonts w:ascii="Calibri" w:eastAsia="Calibri" w:hAnsi="Calibri" w:cs="Calibri"/>
                <w:color w:val="000000" w:themeColor="text1"/>
              </w:rPr>
              <w:t>For the oil and gas sector</w:t>
            </w:r>
            <w:r w:rsidR="0002032A">
              <w:rPr>
                <w:rFonts w:ascii="Calibri" w:eastAsia="Calibri" w:hAnsi="Calibri" w:cs="Calibri"/>
                <w:color w:val="000000" w:themeColor="text1"/>
              </w:rPr>
              <w:t>,</w:t>
            </w:r>
            <w:r w:rsidR="002B6EEF" w:rsidRPr="00497D1E">
              <w:rPr>
                <w:rFonts w:ascii="Calibri" w:eastAsia="Calibri" w:hAnsi="Calibri" w:cs="Calibri"/>
                <w:color w:val="000000" w:themeColor="text1"/>
              </w:rPr>
              <w:t xml:space="preserve"> </w:t>
            </w:r>
            <w:r w:rsidRPr="00497D1E">
              <w:rPr>
                <w:rFonts w:ascii="Calibri" w:eastAsia="Calibri" w:hAnsi="Calibri" w:cs="Calibri"/>
                <w:color w:val="000000" w:themeColor="text1"/>
              </w:rPr>
              <w:t>Article 17, §1</w:t>
            </w:r>
            <w:r w:rsidR="0002032A">
              <w:rPr>
                <w:rFonts w:ascii="Calibri" w:eastAsia="Calibri" w:hAnsi="Calibri" w:cs="Calibri"/>
                <w:color w:val="000000" w:themeColor="text1"/>
              </w:rPr>
              <w:t xml:space="preserve"> states that: “</w:t>
            </w:r>
            <w:r w:rsidRPr="0002032A">
              <w:rPr>
                <w:rFonts w:ascii="Calibri" w:eastAsia="Calibri" w:hAnsi="Calibri" w:cs="Calibri"/>
                <w:i/>
                <w:iCs/>
                <w:color w:val="000000" w:themeColor="text1"/>
              </w:rPr>
              <w:t>Where a site is built, replaced or refurbished in whole or in part, or where new flare stacks or other combustion devices are installed, operators shall install only flare stacks or combustion devices with an auto-igniter or continuous pilot burner and with a destruction and removal efficiency by design level of at least 99 %</w:t>
            </w:r>
            <w:r w:rsidRPr="00497D1E">
              <w:rPr>
                <w:rFonts w:ascii="Calibri" w:eastAsia="Calibri" w:hAnsi="Calibri" w:cs="Calibri"/>
                <w:color w:val="000000" w:themeColor="text1"/>
              </w:rPr>
              <w:t>”</w:t>
            </w:r>
            <w:r w:rsidR="0002032A">
              <w:rPr>
                <w:rFonts w:ascii="Calibri" w:eastAsia="Calibri" w:hAnsi="Calibri" w:cs="Calibri"/>
                <w:color w:val="000000" w:themeColor="text1"/>
              </w:rPr>
              <w:t>.</w:t>
            </w:r>
          </w:p>
          <w:p w14:paraId="7A8D12E4" w14:textId="77777777" w:rsidR="00A41795" w:rsidRDefault="00A41795" w:rsidP="00A41795">
            <w:pPr>
              <w:pStyle w:val="ListParagraph"/>
              <w:rPr>
                <w:rFonts w:ascii="Calibri" w:eastAsia="Calibri" w:hAnsi="Calibri" w:cs="Calibri"/>
                <w:color w:val="000000" w:themeColor="text1"/>
              </w:rPr>
            </w:pPr>
          </w:p>
          <w:p w14:paraId="37EE5EF2" w14:textId="588EA894" w:rsidR="002B6EEF" w:rsidRDefault="002B6EEF" w:rsidP="002B6EEF">
            <w:pPr>
              <w:pStyle w:val="ListParagraph"/>
              <w:numPr>
                <w:ilvl w:val="0"/>
                <w:numId w:val="49"/>
              </w:numPr>
              <w:rPr>
                <w:rFonts w:ascii="Calibri" w:eastAsia="Calibri" w:hAnsi="Calibri" w:cs="Calibri"/>
                <w:color w:val="000000" w:themeColor="text1"/>
              </w:rPr>
            </w:pPr>
            <w:r w:rsidRPr="0002032A">
              <w:rPr>
                <w:rFonts w:ascii="Calibri" w:eastAsia="Calibri" w:hAnsi="Calibri" w:cs="Calibri"/>
                <w:b/>
                <w:bCs/>
                <w:color w:val="000000" w:themeColor="text1"/>
              </w:rPr>
              <w:t>Equipment standards</w:t>
            </w:r>
            <w:r>
              <w:rPr>
                <w:rFonts w:ascii="Calibri" w:eastAsia="Calibri" w:hAnsi="Calibri" w:cs="Calibri"/>
                <w:color w:val="000000" w:themeColor="text1"/>
              </w:rPr>
              <w:t xml:space="preserve">: </w:t>
            </w:r>
            <w:r w:rsidR="0002032A">
              <w:rPr>
                <w:rFonts w:ascii="Calibri" w:eastAsia="Calibri" w:hAnsi="Calibri" w:cs="Calibri"/>
                <w:color w:val="000000" w:themeColor="text1"/>
              </w:rPr>
              <w:t>P</w:t>
            </w:r>
            <w:r>
              <w:rPr>
                <w:rFonts w:ascii="Calibri" w:eastAsia="Calibri" w:hAnsi="Calibri" w:cs="Calibri"/>
                <w:color w:val="000000" w:themeColor="text1"/>
              </w:rPr>
              <w:t xml:space="preserve">ursuant to </w:t>
            </w:r>
            <w:r w:rsidR="0002032A">
              <w:rPr>
                <w:rFonts w:ascii="Calibri" w:eastAsia="Calibri" w:hAnsi="Calibri" w:cs="Calibri"/>
                <w:color w:val="000000" w:themeColor="text1"/>
              </w:rPr>
              <w:t>A</w:t>
            </w:r>
            <w:r>
              <w:rPr>
                <w:rFonts w:ascii="Calibri" w:eastAsia="Calibri" w:hAnsi="Calibri" w:cs="Calibri"/>
                <w:color w:val="000000" w:themeColor="text1"/>
              </w:rPr>
              <w:t>rticle 15</w:t>
            </w:r>
            <w:r w:rsidR="002B6BE1">
              <w:rPr>
                <w:rFonts w:ascii="Calibri" w:eastAsia="Calibri" w:hAnsi="Calibri" w:cs="Calibri"/>
                <w:color w:val="000000" w:themeColor="text1"/>
              </w:rPr>
              <w:t>,</w:t>
            </w:r>
            <w:r>
              <w:rPr>
                <w:rFonts w:ascii="Calibri" w:eastAsia="Calibri" w:hAnsi="Calibri" w:cs="Calibri"/>
                <w:color w:val="000000" w:themeColor="text1"/>
              </w:rPr>
              <w:t xml:space="preserve"> §5:</w:t>
            </w:r>
            <w:r w:rsidR="0002032A">
              <w:rPr>
                <w:rFonts w:ascii="Calibri" w:eastAsia="Calibri" w:hAnsi="Calibri" w:cs="Calibri"/>
                <w:color w:val="000000" w:themeColor="text1"/>
              </w:rPr>
              <w:t xml:space="preserve"> “</w:t>
            </w:r>
            <w:r w:rsidRPr="0002032A">
              <w:rPr>
                <w:rFonts w:ascii="Calibri" w:eastAsia="Calibri" w:hAnsi="Calibri" w:cs="Calibri"/>
                <w:i/>
                <w:iCs/>
                <w:color w:val="000000" w:themeColor="text1"/>
              </w:rPr>
              <w:t>Equipment that vents shall be replaced by non-emitting alternatives where those are commercially available and if they meet the standards or technical prescriptions for components designed to vent established under Article 32</w:t>
            </w:r>
            <w:r>
              <w:rPr>
                <w:rFonts w:ascii="Calibri" w:eastAsia="Calibri" w:hAnsi="Calibri" w:cs="Calibri"/>
                <w:color w:val="000000" w:themeColor="text1"/>
              </w:rPr>
              <w:t>”</w:t>
            </w:r>
            <w:r w:rsidR="0002032A">
              <w:rPr>
                <w:rFonts w:ascii="Calibri" w:eastAsia="Calibri" w:hAnsi="Calibri" w:cs="Calibri"/>
                <w:color w:val="000000" w:themeColor="text1"/>
              </w:rPr>
              <w:t>.</w:t>
            </w:r>
          </w:p>
          <w:p w14:paraId="49E0C1FF" w14:textId="77777777" w:rsidR="00565173" w:rsidRPr="00565173" w:rsidRDefault="002B6EEF" w:rsidP="00A41795">
            <w:pPr>
              <w:pStyle w:val="ListParagraph"/>
              <w:rPr>
                <w:rFonts w:ascii="Calibri" w:eastAsia="Calibri" w:hAnsi="Calibri" w:cs="Calibri"/>
                <w:i/>
                <w:iCs/>
                <w:color w:val="000000" w:themeColor="text1"/>
              </w:rPr>
            </w:pPr>
            <w:r>
              <w:rPr>
                <w:rFonts w:ascii="Calibri" w:eastAsia="Calibri" w:hAnsi="Calibri" w:cs="Calibri"/>
                <w:color w:val="000000" w:themeColor="text1"/>
              </w:rPr>
              <w:lastRenderedPageBreak/>
              <w:t>Article 32 also provides that</w:t>
            </w:r>
            <w:r w:rsidR="0002032A">
              <w:rPr>
                <w:rFonts w:ascii="Calibri" w:eastAsia="Calibri" w:hAnsi="Calibri" w:cs="Calibri"/>
                <w:color w:val="000000" w:themeColor="text1"/>
              </w:rPr>
              <w:t>: “</w:t>
            </w:r>
            <w:r w:rsidR="00A41795" w:rsidRPr="00565173">
              <w:rPr>
                <w:rFonts w:ascii="Calibri" w:eastAsia="Calibri" w:hAnsi="Calibri" w:cs="Calibri"/>
                <w:i/>
                <w:iCs/>
                <w:color w:val="000000" w:themeColor="text1"/>
              </w:rPr>
              <w:t>1.</w:t>
            </w:r>
            <w:r w:rsidR="0002032A" w:rsidRPr="00565173">
              <w:rPr>
                <w:rFonts w:ascii="Calibri" w:eastAsia="Calibri" w:hAnsi="Calibri" w:cs="Calibri"/>
                <w:i/>
                <w:iCs/>
                <w:color w:val="000000" w:themeColor="text1"/>
              </w:rPr>
              <w:t xml:space="preserve"> </w:t>
            </w:r>
            <w:r w:rsidR="00A41795" w:rsidRPr="00565173">
              <w:rPr>
                <w:rFonts w:ascii="Calibri" w:eastAsia="Calibri" w:hAnsi="Calibri" w:cs="Calibri"/>
                <w:i/>
                <w:iCs/>
                <w:color w:val="000000" w:themeColor="text1"/>
              </w:rPr>
              <w:t>The Commission shall, in accordance with Article 10(1) to (5) of Regulation (EU) No 1025/2012, request one or more European standardisation organisations to draft harmonised standards for:</w:t>
            </w:r>
          </w:p>
          <w:p w14:paraId="6FF22962" w14:textId="516279A0" w:rsidR="00565173" w:rsidRPr="00847F58" w:rsidRDefault="00A41795" w:rsidP="00A41795">
            <w:pPr>
              <w:pStyle w:val="ListParagraph"/>
              <w:rPr>
                <w:rFonts w:ascii="Calibri" w:eastAsia="Calibri" w:hAnsi="Calibri" w:cs="Calibri"/>
                <w:color w:val="000000" w:themeColor="text1"/>
              </w:rPr>
            </w:pPr>
            <w:r w:rsidRPr="00847F58">
              <w:rPr>
                <w:rFonts w:ascii="Calibri" w:eastAsia="Calibri" w:hAnsi="Calibri" w:cs="Calibri"/>
                <w:color w:val="000000" w:themeColor="text1"/>
              </w:rPr>
              <w:t>[…]</w:t>
            </w:r>
          </w:p>
          <w:p w14:paraId="597850E1" w14:textId="100376D3" w:rsidR="00565173" w:rsidRPr="00565173" w:rsidRDefault="00A41795" w:rsidP="00A41795">
            <w:pPr>
              <w:pStyle w:val="ListParagraph"/>
              <w:rPr>
                <w:rFonts w:ascii="Calibri" w:eastAsia="Calibri" w:hAnsi="Calibri" w:cs="Calibri"/>
                <w:i/>
                <w:iCs/>
                <w:color w:val="000000" w:themeColor="text1"/>
              </w:rPr>
            </w:pPr>
            <w:r w:rsidRPr="00565173">
              <w:rPr>
                <w:rFonts w:ascii="Calibri" w:eastAsia="Calibri" w:hAnsi="Calibri" w:cs="Calibri"/>
                <w:i/>
                <w:iCs/>
                <w:color w:val="000000" w:themeColor="text1"/>
              </w:rPr>
              <w:t>(c) equipment as referred to in Article 15(3) and (5)</w:t>
            </w:r>
            <w:r w:rsidR="00565173" w:rsidRPr="00565173">
              <w:rPr>
                <w:rFonts w:ascii="Calibri" w:eastAsia="Calibri" w:hAnsi="Calibri" w:cs="Calibri"/>
                <w:i/>
                <w:iCs/>
                <w:color w:val="000000" w:themeColor="text1"/>
              </w:rPr>
              <w:t>.</w:t>
            </w:r>
          </w:p>
          <w:p w14:paraId="3BA5841C" w14:textId="77777777" w:rsidR="00565173" w:rsidRPr="00565173" w:rsidRDefault="00A41795" w:rsidP="00A41795">
            <w:pPr>
              <w:pStyle w:val="ListParagraph"/>
              <w:rPr>
                <w:rFonts w:ascii="Calibri" w:eastAsia="Calibri" w:hAnsi="Calibri" w:cs="Calibri"/>
                <w:i/>
                <w:iCs/>
                <w:color w:val="000000" w:themeColor="text1"/>
              </w:rPr>
            </w:pPr>
            <w:r w:rsidRPr="00565173">
              <w:rPr>
                <w:rFonts w:ascii="Calibri" w:eastAsia="Calibri" w:hAnsi="Calibri" w:cs="Calibri"/>
                <w:i/>
                <w:iCs/>
                <w:color w:val="000000" w:themeColor="text1"/>
              </w:rPr>
              <w:t>2.</w:t>
            </w:r>
            <w:r w:rsidR="00565173" w:rsidRPr="00565173">
              <w:rPr>
                <w:rFonts w:ascii="Calibri" w:eastAsia="Calibri" w:hAnsi="Calibri" w:cs="Calibri"/>
                <w:i/>
                <w:iCs/>
                <w:color w:val="000000" w:themeColor="text1"/>
              </w:rPr>
              <w:t xml:space="preserve"> </w:t>
            </w:r>
            <w:r w:rsidRPr="00565173">
              <w:rPr>
                <w:rFonts w:ascii="Calibri" w:eastAsia="Calibri" w:hAnsi="Calibri" w:cs="Calibri"/>
                <w:i/>
                <w:iCs/>
                <w:color w:val="000000" w:themeColor="text1"/>
              </w:rPr>
              <w:t>Where no delegated act has been adopted in accordance with paragraph 1 of this Article, the Commission is empowered to adopt delegated acts in accordance with Article 34 to supplement this Regulation by establishing mandatory technical prescriptions, or parts thereof, for the purposes of:</w:t>
            </w:r>
          </w:p>
          <w:p w14:paraId="107F6106" w14:textId="77777777" w:rsidR="00565173" w:rsidRPr="00847F58" w:rsidRDefault="00A41795" w:rsidP="00A41795">
            <w:pPr>
              <w:pStyle w:val="ListParagraph"/>
              <w:rPr>
                <w:rFonts w:ascii="Calibri" w:eastAsia="Calibri" w:hAnsi="Calibri" w:cs="Calibri"/>
                <w:color w:val="000000" w:themeColor="text1"/>
              </w:rPr>
            </w:pPr>
            <w:r w:rsidRPr="00847F58">
              <w:rPr>
                <w:rFonts w:ascii="Calibri" w:eastAsia="Calibri" w:hAnsi="Calibri" w:cs="Calibri"/>
                <w:color w:val="000000" w:themeColor="text1"/>
              </w:rPr>
              <w:t>[…]</w:t>
            </w:r>
          </w:p>
          <w:p w14:paraId="14A6A840" w14:textId="549D17F9" w:rsidR="00984628" w:rsidRPr="005A74B1" w:rsidRDefault="00A41795" w:rsidP="00A41795">
            <w:pPr>
              <w:pStyle w:val="ListParagraph"/>
              <w:rPr>
                <w:rFonts w:ascii="Calibri" w:eastAsia="Calibri" w:hAnsi="Calibri" w:cs="Calibri"/>
                <w:color w:val="000000" w:themeColor="text1"/>
              </w:rPr>
            </w:pPr>
            <w:r w:rsidRPr="00565173">
              <w:rPr>
                <w:rFonts w:ascii="Calibri" w:eastAsia="Calibri" w:hAnsi="Calibri" w:cs="Calibri"/>
                <w:i/>
                <w:iCs/>
                <w:color w:val="000000" w:themeColor="text1"/>
              </w:rPr>
              <w:t>(c) equipment as referred to in Article 15(3) and (5)</w:t>
            </w:r>
            <w:r w:rsidR="00565173" w:rsidRPr="00565173">
              <w:rPr>
                <w:rFonts w:ascii="Calibri" w:eastAsia="Calibri" w:hAnsi="Calibri" w:cs="Calibri"/>
                <w:i/>
                <w:iCs/>
                <w:color w:val="000000" w:themeColor="text1"/>
              </w:rPr>
              <w:t>.</w:t>
            </w:r>
            <w:r>
              <w:rPr>
                <w:rFonts w:ascii="Calibri" w:eastAsia="Calibri" w:hAnsi="Calibri" w:cs="Calibri"/>
                <w:color w:val="000000" w:themeColor="text1"/>
              </w:rPr>
              <w:t>”</w:t>
            </w: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5034187E" w:rsidR="002F0752" w:rsidRPr="00CF2E7C" w:rsidRDefault="00BE73E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20082EB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4F4F340" w:rsidR="002F0752" w:rsidRPr="00CF2E7C" w:rsidRDefault="00A74FB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6760DCD" w:rsidR="002F0752" w:rsidRPr="00CF2E7C" w:rsidRDefault="00BE73E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29FC6DA1" w:rsidR="002F0752" w:rsidRPr="00CF2E7C" w:rsidRDefault="00BE73E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5546E10" w:rsidR="002F0752" w:rsidRPr="00CF2E7C" w:rsidRDefault="00BD63F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246EB96E" w:rsidR="002F0752" w:rsidRPr="00CF2E7C" w:rsidRDefault="00795C6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9213199" w14:textId="41B942A3" w:rsidR="002F0752" w:rsidRDefault="000B7742" w:rsidP="000B7742">
            <w:pPr>
              <w:pStyle w:val="ListParagraph"/>
              <w:numPr>
                <w:ilvl w:val="0"/>
                <w:numId w:val="49"/>
              </w:numPr>
              <w:rPr>
                <w:rFonts w:ascii="Calibri" w:eastAsia="Calibri" w:hAnsi="Calibri" w:cs="Calibri"/>
                <w:color w:val="000000" w:themeColor="text1"/>
              </w:rPr>
            </w:pPr>
            <w:r w:rsidRPr="002B6BE1">
              <w:rPr>
                <w:rFonts w:ascii="Calibri" w:eastAsia="Calibri" w:hAnsi="Calibri" w:cs="Calibri"/>
                <w:b/>
                <w:bCs/>
                <w:color w:val="000000" w:themeColor="text1"/>
              </w:rPr>
              <w:t>Measures relating to plugging abandoned wells, including funding</w:t>
            </w:r>
            <w:r>
              <w:rPr>
                <w:rFonts w:ascii="Calibri" w:eastAsia="Calibri" w:hAnsi="Calibri" w:cs="Calibri"/>
                <w:color w:val="000000" w:themeColor="text1"/>
              </w:rPr>
              <w:t xml:space="preserve">: Pursuant to </w:t>
            </w:r>
            <w:r w:rsidR="002B6BE1">
              <w:rPr>
                <w:rFonts w:ascii="Calibri" w:eastAsia="Calibri" w:hAnsi="Calibri" w:cs="Calibri"/>
                <w:color w:val="000000" w:themeColor="text1"/>
              </w:rPr>
              <w:t>A</w:t>
            </w:r>
            <w:r>
              <w:rPr>
                <w:rFonts w:ascii="Calibri" w:eastAsia="Calibri" w:hAnsi="Calibri" w:cs="Calibri"/>
                <w:color w:val="000000" w:themeColor="text1"/>
              </w:rPr>
              <w:t>rticle 18, §6</w:t>
            </w:r>
            <w:r w:rsidR="002B6BE1">
              <w:rPr>
                <w:rFonts w:ascii="Calibri" w:eastAsia="Calibri" w:hAnsi="Calibri" w:cs="Calibri"/>
                <w:color w:val="000000" w:themeColor="text1"/>
              </w:rPr>
              <w:t xml:space="preserve"> of the Regulation</w:t>
            </w:r>
            <w:r>
              <w:rPr>
                <w:rFonts w:ascii="Calibri" w:eastAsia="Calibri" w:hAnsi="Calibri" w:cs="Calibri"/>
                <w:color w:val="000000" w:themeColor="text1"/>
              </w:rPr>
              <w:t>: “</w:t>
            </w:r>
            <w:r w:rsidRPr="002B6BE1">
              <w:rPr>
                <w:rFonts w:ascii="Calibri" w:eastAsia="Calibri" w:hAnsi="Calibri" w:cs="Calibri"/>
                <w:i/>
                <w:iCs/>
                <w:color w:val="000000" w:themeColor="text1"/>
              </w:rPr>
              <w:t>Where methane emissions are detected in inactive wells, temporarily plugged wells or permanently plugged and abandoned wells, Member States or the party responsible pursuant to paragraph 8 shall take all the necessary measures available to them for remediating, reclaiming and permanently plugging that well</w:t>
            </w:r>
            <w:r>
              <w:rPr>
                <w:rFonts w:ascii="Calibri" w:eastAsia="Calibri" w:hAnsi="Calibri" w:cs="Calibri"/>
                <w:color w:val="000000" w:themeColor="text1"/>
              </w:rPr>
              <w:t>”</w:t>
            </w:r>
            <w:r w:rsidR="002B6BE1">
              <w:rPr>
                <w:rFonts w:ascii="Calibri" w:eastAsia="Calibri" w:hAnsi="Calibri" w:cs="Calibri"/>
                <w:color w:val="000000" w:themeColor="text1"/>
              </w:rPr>
              <w:t>.</w:t>
            </w:r>
          </w:p>
          <w:p w14:paraId="79ECD98C" w14:textId="5BF21CFC" w:rsidR="000B7742" w:rsidRDefault="000B7742" w:rsidP="000B7742">
            <w:pPr>
              <w:pStyle w:val="ListParagraph"/>
              <w:numPr>
                <w:ilvl w:val="0"/>
                <w:numId w:val="49"/>
              </w:numPr>
              <w:rPr>
                <w:rFonts w:ascii="Calibri" w:eastAsia="Calibri" w:hAnsi="Calibri" w:cs="Calibri"/>
                <w:color w:val="000000" w:themeColor="text1"/>
              </w:rPr>
            </w:pPr>
            <w:r w:rsidRPr="002B6BE1">
              <w:rPr>
                <w:rFonts w:ascii="Calibri" w:eastAsia="Calibri" w:hAnsi="Calibri" w:cs="Calibri"/>
                <w:b/>
                <w:bCs/>
                <w:color w:val="000000" w:themeColor="text1"/>
              </w:rPr>
              <w:lastRenderedPageBreak/>
              <w:t>Other measures relating to inactive (orphaned and/or abandoned) wells, including emissions reporting requirements</w:t>
            </w:r>
            <w:r w:rsidR="00795C6E">
              <w:rPr>
                <w:rFonts w:ascii="Calibri" w:eastAsia="Calibri" w:hAnsi="Calibri" w:cs="Calibri"/>
                <w:color w:val="000000" w:themeColor="text1"/>
              </w:rPr>
              <w:t>:</w:t>
            </w:r>
          </w:p>
          <w:p w14:paraId="0BB7094C" w14:textId="7B7131D9" w:rsidR="00795C6E" w:rsidRDefault="00664A9C" w:rsidP="00795C6E">
            <w:pPr>
              <w:pStyle w:val="ListParagraph"/>
              <w:numPr>
                <w:ilvl w:val="1"/>
                <w:numId w:val="49"/>
              </w:numPr>
              <w:rPr>
                <w:rFonts w:ascii="Calibri" w:eastAsia="Calibri" w:hAnsi="Calibri" w:cs="Calibri"/>
                <w:color w:val="000000" w:themeColor="text1"/>
              </w:rPr>
            </w:pPr>
            <w:r>
              <w:rPr>
                <w:rFonts w:ascii="Calibri" w:eastAsia="Calibri" w:hAnsi="Calibri" w:cs="Calibri"/>
                <w:color w:val="000000" w:themeColor="text1"/>
              </w:rPr>
              <w:t xml:space="preserve">Pursuant to </w:t>
            </w:r>
            <w:r w:rsidR="002B6BE1">
              <w:rPr>
                <w:rFonts w:ascii="Calibri" w:eastAsia="Calibri" w:hAnsi="Calibri" w:cs="Calibri"/>
                <w:color w:val="000000" w:themeColor="text1"/>
              </w:rPr>
              <w:t>A</w:t>
            </w:r>
            <w:r>
              <w:rPr>
                <w:rFonts w:ascii="Calibri" w:eastAsia="Calibri" w:hAnsi="Calibri" w:cs="Calibri"/>
                <w:color w:val="000000" w:themeColor="text1"/>
              </w:rPr>
              <w:t>rticle 18, §1</w:t>
            </w:r>
            <w:r w:rsidR="002B6BE1">
              <w:rPr>
                <w:rFonts w:ascii="Calibri" w:eastAsia="Calibri" w:hAnsi="Calibri" w:cs="Calibri"/>
                <w:color w:val="000000" w:themeColor="text1"/>
              </w:rPr>
              <w:t xml:space="preserve"> of the Regulation</w:t>
            </w:r>
            <w:r>
              <w:rPr>
                <w:rFonts w:ascii="Calibri" w:eastAsia="Calibri" w:hAnsi="Calibri" w:cs="Calibri"/>
                <w:color w:val="000000" w:themeColor="text1"/>
              </w:rPr>
              <w:t>: “</w:t>
            </w:r>
            <w:r w:rsidRPr="002B6BE1">
              <w:rPr>
                <w:rFonts w:ascii="Calibri" w:eastAsia="Calibri" w:hAnsi="Calibri" w:cs="Calibri"/>
                <w:i/>
                <w:iCs/>
                <w:color w:val="000000" w:themeColor="text1"/>
              </w:rPr>
              <w:t>By 5 August 2025, Member States shall establish and make publicly available an inventory of all inactive wells, temporarily plugged wells and permanently plugged and abandoned wells on their territory or under their jurisdiction that are recorded or where information or evidence on their location is available or where their location can be identified with all reasonable efforts.</w:t>
            </w:r>
            <w:r w:rsidRPr="002B6BE1">
              <w:rPr>
                <w:rFonts w:ascii="Calibri" w:eastAsia="Calibri" w:hAnsi="Calibri" w:cs="Calibri"/>
                <w:color w:val="000000" w:themeColor="text1"/>
              </w:rPr>
              <w:t xml:space="preserve"> […]</w:t>
            </w:r>
            <w:r w:rsidR="002B6BE1" w:rsidRPr="002B6BE1">
              <w:rPr>
                <w:rFonts w:ascii="Calibri" w:eastAsia="Calibri" w:hAnsi="Calibri" w:cs="Calibri"/>
                <w:color w:val="000000" w:themeColor="text1"/>
              </w:rPr>
              <w:t xml:space="preserve"> </w:t>
            </w:r>
            <w:r w:rsidRPr="002B6BE1">
              <w:rPr>
                <w:rFonts w:ascii="Calibri" w:eastAsia="Calibri" w:hAnsi="Calibri" w:cs="Calibri"/>
                <w:i/>
                <w:iCs/>
                <w:color w:val="000000" w:themeColor="text1"/>
              </w:rPr>
              <w:t>Member States shall maintain and keep up to date that inventory</w:t>
            </w:r>
            <w:r w:rsidR="002B6BE1" w:rsidRPr="002B6BE1">
              <w:rPr>
                <w:rFonts w:ascii="Calibri" w:eastAsia="Calibri" w:hAnsi="Calibri" w:cs="Calibri"/>
                <w:i/>
                <w:iCs/>
                <w:color w:val="000000" w:themeColor="text1"/>
              </w:rPr>
              <w:t>.</w:t>
            </w:r>
            <w:r>
              <w:rPr>
                <w:rFonts w:ascii="Calibri" w:eastAsia="Calibri" w:hAnsi="Calibri" w:cs="Calibri"/>
                <w:color w:val="000000" w:themeColor="text1"/>
              </w:rPr>
              <w:t>”</w:t>
            </w:r>
          </w:p>
          <w:p w14:paraId="62A5947D" w14:textId="34A31C10" w:rsidR="005B7039" w:rsidRDefault="005B7039" w:rsidP="00795C6E">
            <w:pPr>
              <w:pStyle w:val="ListParagraph"/>
              <w:numPr>
                <w:ilvl w:val="1"/>
                <w:numId w:val="49"/>
              </w:numPr>
              <w:rPr>
                <w:rFonts w:ascii="Calibri" w:eastAsia="Calibri" w:hAnsi="Calibri" w:cs="Calibri"/>
                <w:color w:val="000000" w:themeColor="text1"/>
              </w:rPr>
            </w:pPr>
            <w:r>
              <w:rPr>
                <w:rFonts w:ascii="Calibri" w:eastAsia="Calibri" w:hAnsi="Calibri" w:cs="Calibri"/>
                <w:color w:val="000000" w:themeColor="text1"/>
              </w:rPr>
              <w:t xml:space="preserve">Pursuant to </w:t>
            </w:r>
            <w:r w:rsidR="002B6BE1">
              <w:rPr>
                <w:rFonts w:ascii="Calibri" w:eastAsia="Calibri" w:hAnsi="Calibri" w:cs="Calibri"/>
                <w:color w:val="000000" w:themeColor="text1"/>
              </w:rPr>
              <w:t>A</w:t>
            </w:r>
            <w:r>
              <w:rPr>
                <w:rFonts w:ascii="Calibri" w:eastAsia="Calibri" w:hAnsi="Calibri" w:cs="Calibri"/>
                <w:color w:val="000000" w:themeColor="text1"/>
              </w:rPr>
              <w:t>rticle 18, §3: “</w:t>
            </w:r>
            <w:r w:rsidR="002B6BE1" w:rsidRPr="00BC3C01">
              <w:rPr>
                <w:rFonts w:ascii="Calibri" w:eastAsia="Calibri" w:hAnsi="Calibri" w:cs="Calibri"/>
                <w:i/>
                <w:iCs/>
                <w:color w:val="000000" w:themeColor="text1"/>
              </w:rPr>
              <w:t>R</w:t>
            </w:r>
            <w:r w:rsidRPr="00BC3C01">
              <w:rPr>
                <w:rFonts w:ascii="Calibri" w:eastAsia="Calibri" w:hAnsi="Calibri" w:cs="Calibri"/>
                <w:i/>
                <w:iCs/>
                <w:color w:val="000000" w:themeColor="text1"/>
              </w:rPr>
              <w:t>eports containing information on quantification of methane emissions and, where pressure monitoring equipment exists, information on pressure monitoring from all inactive wells and temporarily plugged wells shall be submitted to the competent authorities by 5 May 2026 and by 31 May every year thereafter</w:t>
            </w:r>
            <w:r>
              <w:rPr>
                <w:rFonts w:ascii="Calibri" w:eastAsia="Calibri" w:hAnsi="Calibri" w:cs="Calibri"/>
                <w:color w:val="000000" w:themeColor="text1"/>
              </w:rPr>
              <w:t>”</w:t>
            </w:r>
            <w:r w:rsidR="00BC3C01">
              <w:rPr>
                <w:rFonts w:ascii="Calibri" w:eastAsia="Calibri" w:hAnsi="Calibri" w:cs="Calibri"/>
                <w:color w:val="000000" w:themeColor="text1"/>
              </w:rPr>
              <w:t>.</w:t>
            </w:r>
          </w:p>
          <w:p w14:paraId="78AA723E" w14:textId="020D6AA5" w:rsidR="00BC3C01" w:rsidRPr="00BC3C01" w:rsidRDefault="005B7039" w:rsidP="00BC3C01">
            <w:pPr>
              <w:pStyle w:val="ListParagraph"/>
              <w:numPr>
                <w:ilvl w:val="1"/>
                <w:numId w:val="49"/>
              </w:numPr>
              <w:rPr>
                <w:rFonts w:ascii="Calibri" w:eastAsia="Calibri" w:hAnsi="Calibri" w:cs="Calibri"/>
                <w:color w:val="000000" w:themeColor="text1"/>
              </w:rPr>
            </w:pPr>
            <w:r>
              <w:rPr>
                <w:rFonts w:ascii="Calibri" w:eastAsia="Calibri" w:hAnsi="Calibri" w:cs="Calibri"/>
                <w:color w:val="000000" w:themeColor="text1"/>
              </w:rPr>
              <w:t xml:space="preserve">Pursuant to </w:t>
            </w:r>
            <w:r w:rsidR="002B6BE1">
              <w:rPr>
                <w:rFonts w:ascii="Calibri" w:eastAsia="Calibri" w:hAnsi="Calibri" w:cs="Calibri"/>
                <w:color w:val="000000" w:themeColor="text1"/>
              </w:rPr>
              <w:t>A</w:t>
            </w:r>
            <w:r>
              <w:rPr>
                <w:rFonts w:ascii="Calibri" w:eastAsia="Calibri" w:hAnsi="Calibri" w:cs="Calibri"/>
                <w:color w:val="000000" w:themeColor="text1"/>
              </w:rPr>
              <w:t>rticle 18, §9: “</w:t>
            </w:r>
            <w:r w:rsidRPr="00BC3C01">
              <w:rPr>
                <w:rFonts w:ascii="Calibri" w:eastAsia="Calibri" w:hAnsi="Calibri" w:cs="Calibri"/>
                <w:i/>
                <w:iCs/>
                <w:color w:val="000000" w:themeColor="text1"/>
              </w:rPr>
              <w:t>By 5 August 2026, Member States or the party responsible pursuant to paragraph 8, shall prepare a mitigation plan to remediate, reclaim and permanently plug inactive wells and temporarily plugged wells including at least the elements set out in Part 2 of Annex V, and implement it within 12 months from the submission of the first report referred to in paragraph 3</w:t>
            </w:r>
            <w:r>
              <w:rPr>
                <w:rFonts w:ascii="Calibri" w:eastAsia="Calibri" w:hAnsi="Calibri" w:cs="Calibri"/>
                <w:color w:val="000000" w:themeColor="text1"/>
              </w:rPr>
              <w:t>”</w:t>
            </w:r>
            <w:r w:rsidR="00BC3C01">
              <w:rPr>
                <w:rFonts w:ascii="Calibri" w:eastAsia="Calibri" w:hAnsi="Calibri" w:cs="Calibri"/>
                <w:color w:val="000000" w:themeColor="text1"/>
              </w:rPr>
              <w:t>.</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430F5246" w:rsidR="002F0752" w:rsidRPr="00CF2E7C" w:rsidRDefault="00BD63F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lastRenderedPageBreak/>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52B10C98" w:rsidR="002F0752" w:rsidRPr="00CF2E7C" w:rsidRDefault="003003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65D8DE24"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1A155940" w:rsidR="002F0752" w:rsidRPr="00CF2E7C" w:rsidRDefault="00BB77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4BCEEA03" w:rsidR="002F0752" w:rsidRPr="00CF2E7C" w:rsidRDefault="00BB77F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232D6BF7" w:rsidR="002F0752" w:rsidRPr="00CF2E7C" w:rsidRDefault="00BB77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2093A8F1" w:rsidR="002F0752" w:rsidRPr="00CF2E7C" w:rsidRDefault="00BB77F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47848AD" w14:textId="78A28548" w:rsidR="005871C9" w:rsidRDefault="00682788" w:rsidP="00CF2E7C">
            <w:pPr>
              <w:rPr>
                <w:rFonts w:ascii="Calibri" w:eastAsia="Calibri" w:hAnsi="Calibri" w:cs="Calibri"/>
                <w:color w:val="000000" w:themeColor="text1"/>
              </w:rPr>
            </w:pPr>
            <w:r>
              <w:rPr>
                <w:rFonts w:ascii="Calibri" w:eastAsia="Calibri" w:hAnsi="Calibri" w:cs="Calibri"/>
                <w:color w:val="000000" w:themeColor="text1"/>
              </w:rPr>
              <w:t xml:space="preserve">Pursuant to </w:t>
            </w:r>
            <w:r w:rsidR="005871C9">
              <w:rPr>
                <w:rFonts w:ascii="Calibri" w:eastAsia="Calibri" w:hAnsi="Calibri" w:cs="Calibri"/>
                <w:color w:val="000000" w:themeColor="text1"/>
              </w:rPr>
              <w:t>A</w:t>
            </w:r>
            <w:r>
              <w:rPr>
                <w:rFonts w:ascii="Calibri" w:eastAsia="Calibri" w:hAnsi="Calibri" w:cs="Calibri"/>
                <w:color w:val="000000" w:themeColor="text1"/>
              </w:rPr>
              <w:t>rticle 29, §4</w:t>
            </w:r>
            <w:r w:rsidR="005871C9">
              <w:rPr>
                <w:rFonts w:ascii="Calibri" w:eastAsia="Calibri" w:hAnsi="Calibri" w:cs="Calibri"/>
                <w:color w:val="000000" w:themeColor="text1"/>
              </w:rPr>
              <w:t xml:space="preserve"> of the Regulation</w:t>
            </w:r>
            <w:r>
              <w:rPr>
                <w:rFonts w:ascii="Calibri" w:eastAsia="Calibri" w:hAnsi="Calibri" w:cs="Calibri"/>
                <w:color w:val="000000" w:themeColor="text1"/>
              </w:rPr>
              <w:t xml:space="preserve">, </w:t>
            </w:r>
            <w:r w:rsidR="005871C9">
              <w:rPr>
                <w:rFonts w:ascii="Calibri" w:eastAsia="Calibri" w:hAnsi="Calibri" w:cs="Calibri"/>
                <w:color w:val="000000" w:themeColor="text1"/>
              </w:rPr>
              <w:t>“</w:t>
            </w:r>
            <w:r w:rsidR="005871C9" w:rsidRPr="00682788">
              <w:rPr>
                <w:rFonts w:ascii="Calibri" w:eastAsia="Calibri" w:hAnsi="Calibri" w:cs="Calibri"/>
                <w:i/>
                <w:iCs/>
                <w:color w:val="000000" w:themeColor="text1"/>
              </w:rPr>
              <w:t>By 5 August 2027, the Commission shall adopt a delegated act in accordance with Article 34 to supplement this Regulation by setting out the methodology for calculating, at the level of the producer, the methane intensity of the production of crude oil, natural gas and coal placed on the Union market. That methodology shall take into account different production processes and site conditions, as well as existing international methodologies and best practice for calculating methane intensity. That methodology shall be non-discriminatory and based on transparent and objective criteria. When preparing such delegated acts, the Commission shall inform the Coordination Group for oil and petroleum products, the Gas Coordination Group, the Electricity Coordination Group and other relevant stakeholders</w:t>
            </w:r>
            <w:r w:rsidR="005871C9" w:rsidRPr="00682788">
              <w:rPr>
                <w:rFonts w:ascii="Calibri" w:eastAsia="Calibri" w:hAnsi="Calibri" w:cs="Calibri"/>
                <w:color w:val="000000" w:themeColor="text1"/>
              </w:rPr>
              <w:t>.</w:t>
            </w:r>
            <w:r w:rsidR="005871C9">
              <w:rPr>
                <w:rFonts w:ascii="Calibri" w:eastAsia="Calibri" w:hAnsi="Calibri" w:cs="Calibri"/>
                <w:color w:val="000000" w:themeColor="text1"/>
              </w:rPr>
              <w:t>”</w:t>
            </w:r>
          </w:p>
          <w:p w14:paraId="48261404" w14:textId="163133F2" w:rsidR="002F0752" w:rsidRPr="00CF2E7C" w:rsidRDefault="005871C9" w:rsidP="00CF2E7C">
            <w:pPr>
              <w:rPr>
                <w:rFonts w:ascii="Calibri" w:eastAsia="Calibri" w:hAnsi="Calibri" w:cs="Calibri"/>
                <w:color w:val="000000" w:themeColor="text1"/>
              </w:rPr>
            </w:pPr>
            <w:r w:rsidRPr="00151B4B">
              <w:rPr>
                <w:rFonts w:ascii="Calibri" w:hAnsi="Calibri" w:cs="Calibri"/>
              </w:rPr>
              <w:t>The Commission has not yet adopted delegated acts setting the maximum methane intensity.</w:t>
            </w: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lastRenderedPageBreak/>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0AA9EE37" w:rsidR="002F0752" w:rsidRPr="00CF2E7C" w:rsidRDefault="00093800"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34247758"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4EA40D8F" w:rsidR="002F0752" w:rsidRPr="00CF2E7C" w:rsidRDefault="00093800" w:rsidP="00CF2E7C">
            <w:pPr>
              <w:rPr>
                <w:rFonts w:ascii="Calibri" w:hAnsi="Calibri" w:cs="Calibri"/>
              </w:rPr>
            </w:pPr>
            <w:r>
              <w:rPr>
                <w:rFonts w:ascii="Calibri" w:hAnsi="Calibri" w:cs="Calibri"/>
              </w:rPr>
              <w:t>X</w:t>
            </w: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A754246" w14:textId="1AB1F412" w:rsidR="002F0752" w:rsidRDefault="00E2174D" w:rsidP="00CF2E7C">
            <w:pPr>
              <w:rPr>
                <w:rFonts w:ascii="Calibri" w:hAnsi="Calibri" w:cs="Calibri"/>
              </w:rPr>
            </w:pPr>
            <w:r>
              <w:rPr>
                <w:rFonts w:ascii="Calibri" w:hAnsi="Calibri" w:cs="Calibri"/>
              </w:rPr>
              <w:t xml:space="preserve">Pursuant to </w:t>
            </w:r>
            <w:r w:rsidR="005871C9">
              <w:rPr>
                <w:rFonts w:ascii="Calibri" w:hAnsi="Calibri" w:cs="Calibri"/>
              </w:rPr>
              <w:t>A</w:t>
            </w:r>
            <w:r>
              <w:rPr>
                <w:rFonts w:ascii="Calibri" w:hAnsi="Calibri" w:cs="Calibri"/>
              </w:rPr>
              <w:t>rticle 22, §1 of the Regulation:</w:t>
            </w:r>
          </w:p>
          <w:p w14:paraId="706FAC9B" w14:textId="06EA4117" w:rsidR="00E2174D" w:rsidRDefault="00E2174D" w:rsidP="00E2174D">
            <w:pPr>
              <w:pStyle w:val="ListParagraph"/>
              <w:numPr>
                <w:ilvl w:val="0"/>
                <w:numId w:val="49"/>
              </w:numPr>
              <w:rPr>
                <w:rFonts w:ascii="Calibri" w:hAnsi="Calibri" w:cs="Calibri"/>
              </w:rPr>
            </w:pPr>
            <w:r>
              <w:rPr>
                <w:rFonts w:ascii="Calibri" w:hAnsi="Calibri" w:cs="Calibri"/>
              </w:rPr>
              <w:t>Flaring with a destruction and removal efficiency by design level above 99% is authorized</w:t>
            </w:r>
            <w:r w:rsidR="005871C9">
              <w:rPr>
                <w:rFonts w:ascii="Calibri" w:hAnsi="Calibri" w:cs="Calibri"/>
              </w:rPr>
              <w:t>, and</w:t>
            </w:r>
          </w:p>
          <w:p w14:paraId="130A1B43" w14:textId="6DF1B6A0" w:rsidR="00E2174D" w:rsidRPr="00E2174D" w:rsidRDefault="00E2174D" w:rsidP="00E2174D">
            <w:pPr>
              <w:pStyle w:val="ListParagraph"/>
              <w:numPr>
                <w:ilvl w:val="0"/>
                <w:numId w:val="49"/>
              </w:numPr>
              <w:rPr>
                <w:rFonts w:ascii="Calibri" w:hAnsi="Calibri" w:cs="Calibri"/>
              </w:rPr>
            </w:pPr>
            <w:r>
              <w:rPr>
                <w:rFonts w:ascii="Calibri" w:hAnsi="Calibri" w:cs="Calibri"/>
              </w:rPr>
              <w:t>Flaring (with a destruction/removal efficiency below 99%) and venting are authorized in the case “</w:t>
            </w:r>
            <w:r w:rsidRPr="005871C9">
              <w:rPr>
                <w:rFonts w:ascii="Calibri" w:hAnsi="Calibri" w:cs="Calibri"/>
                <w:i/>
                <w:iCs/>
              </w:rPr>
              <w:t>of an emergency or a malfunction, or where unavoidable and strictly necessary for maintenance</w:t>
            </w:r>
            <w:r>
              <w:rPr>
                <w:rFonts w:ascii="Calibri" w:hAnsi="Calibri" w:cs="Calibri"/>
              </w:rPr>
              <w:t>”.</w:t>
            </w: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6B59283E" w:rsidR="002F0752" w:rsidRPr="00CF2E7C" w:rsidRDefault="00B90CEC"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5669BE1F" w:rsidR="002F0752" w:rsidRPr="00CF2E7C" w:rsidRDefault="00B90CEC" w:rsidP="00CF2E7C">
            <w:pPr>
              <w:rPr>
                <w:rFonts w:ascii="Calibri" w:hAnsi="Calibri" w:cs="Calibri"/>
              </w:rPr>
            </w:pPr>
            <w:r>
              <w:rPr>
                <w:rFonts w:ascii="Calibri" w:hAnsi="Calibri" w:cs="Calibri"/>
              </w:rPr>
              <w:t>X</w:t>
            </w: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lastRenderedPageBreak/>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17E19C65" w:rsidR="002F0752" w:rsidRPr="00CF2E7C" w:rsidRDefault="007C10D3" w:rsidP="00CF2E7C">
            <w:pPr>
              <w:rPr>
                <w:rFonts w:ascii="Calibri" w:hAnsi="Calibri" w:cs="Calibri"/>
              </w:rPr>
            </w:pPr>
            <w:r>
              <w:rPr>
                <w:rFonts w:ascii="Calibri" w:hAnsi="Calibri" w:cs="Calibri"/>
              </w:rPr>
              <w:t>X</w:t>
            </w: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1E643D89" w:rsidR="002F0752" w:rsidRPr="00CF2E7C" w:rsidRDefault="00497D1E" w:rsidP="00CF2E7C">
            <w:pPr>
              <w:rPr>
                <w:rFonts w:ascii="Calibri" w:hAnsi="Calibri" w:cs="Calibri"/>
              </w:rPr>
            </w:pPr>
            <w:r>
              <w:rPr>
                <w:rFonts w:ascii="Calibri" w:hAnsi="Calibri" w:cs="Calibri"/>
              </w:rPr>
              <w:t>X</w:t>
            </w: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C9728D" w:rsidRPr="00CF2E7C" w14:paraId="382B8C2C" w14:textId="77777777" w:rsidTr="00CF2E7C">
        <w:trPr>
          <w:trHeight w:val="1020"/>
        </w:trPr>
        <w:tc>
          <w:tcPr>
            <w:tcW w:w="1066" w:type="dxa"/>
            <w:vAlign w:val="center"/>
          </w:tcPr>
          <w:p w14:paraId="50CC6029" w14:textId="77777777" w:rsidR="00C9728D" w:rsidRPr="00CF2E7C" w:rsidRDefault="00C9728D" w:rsidP="00C9728D">
            <w:pPr>
              <w:rPr>
                <w:rFonts w:ascii="Calibri" w:hAnsi="Calibri" w:cs="Calibri"/>
              </w:rPr>
            </w:pPr>
          </w:p>
        </w:tc>
        <w:tc>
          <w:tcPr>
            <w:tcW w:w="9369" w:type="dxa"/>
            <w:gridSpan w:val="2"/>
            <w:shd w:val="clear" w:color="auto" w:fill="auto"/>
            <w:vAlign w:val="center"/>
          </w:tcPr>
          <w:p w14:paraId="63A3D4AA" w14:textId="3EDED4F9" w:rsidR="00497D1E" w:rsidRPr="00A02D59" w:rsidRDefault="00C9728D" w:rsidP="00A02D59">
            <w:pPr>
              <w:pStyle w:val="ListParagraph"/>
              <w:numPr>
                <w:ilvl w:val="0"/>
                <w:numId w:val="49"/>
              </w:numPr>
              <w:rPr>
                <w:rFonts w:ascii="Calibri" w:eastAsia="Calibri" w:hAnsi="Calibri" w:cs="Calibri"/>
                <w:color w:val="000000" w:themeColor="text1"/>
              </w:rPr>
            </w:pPr>
            <w:r w:rsidRPr="00497D1E">
              <w:rPr>
                <w:rFonts w:ascii="Calibri" w:eastAsia="Calibri" w:hAnsi="Calibri" w:cs="Calibri"/>
                <w:color w:val="000000" w:themeColor="text1"/>
              </w:rPr>
              <w:t xml:space="preserve">The reports that shall be made by the </w:t>
            </w:r>
            <w:r w:rsidR="00362F10">
              <w:rPr>
                <w:rFonts w:ascii="Calibri" w:eastAsia="Calibri" w:hAnsi="Calibri" w:cs="Calibri"/>
                <w:color w:val="000000" w:themeColor="text1"/>
              </w:rPr>
              <w:t xml:space="preserve">EU </w:t>
            </w:r>
            <w:r w:rsidRPr="00497D1E">
              <w:rPr>
                <w:rFonts w:ascii="Calibri" w:eastAsia="Calibri" w:hAnsi="Calibri" w:cs="Calibri"/>
                <w:color w:val="000000" w:themeColor="text1"/>
              </w:rPr>
              <w:t>operators (</w:t>
            </w:r>
            <w:r w:rsidR="00362F10">
              <w:rPr>
                <w:rFonts w:ascii="Calibri" w:eastAsia="Calibri" w:hAnsi="Calibri" w:cs="Calibri"/>
                <w:color w:val="000000" w:themeColor="text1"/>
              </w:rPr>
              <w:t>A</w:t>
            </w:r>
            <w:r w:rsidRPr="00497D1E">
              <w:rPr>
                <w:rFonts w:ascii="Calibri" w:eastAsia="Calibri" w:hAnsi="Calibri" w:cs="Calibri"/>
                <w:color w:val="000000" w:themeColor="text1"/>
              </w:rPr>
              <w:t>rticle 20</w:t>
            </w:r>
            <w:r w:rsidR="00362F10">
              <w:rPr>
                <w:rFonts w:ascii="Calibri" w:eastAsia="Calibri" w:hAnsi="Calibri" w:cs="Calibri"/>
                <w:color w:val="000000" w:themeColor="text1"/>
              </w:rPr>
              <w:t>,</w:t>
            </w:r>
            <w:r w:rsidRPr="00497D1E">
              <w:rPr>
                <w:rFonts w:ascii="Calibri" w:eastAsia="Calibri" w:hAnsi="Calibri" w:cs="Calibri"/>
                <w:color w:val="000000" w:themeColor="text1"/>
              </w:rPr>
              <w:t xml:space="preserve"> §6</w:t>
            </w:r>
            <w:r w:rsidR="00362F10">
              <w:rPr>
                <w:rFonts w:ascii="Calibri" w:eastAsia="Calibri" w:hAnsi="Calibri" w:cs="Calibri"/>
                <w:color w:val="000000" w:themeColor="text1"/>
              </w:rPr>
              <w:t>:</w:t>
            </w:r>
            <w:r w:rsidRPr="00497D1E">
              <w:rPr>
                <w:rFonts w:ascii="Calibri" w:eastAsia="Calibri" w:hAnsi="Calibri" w:cs="Calibri"/>
                <w:color w:val="000000" w:themeColor="text1"/>
              </w:rPr>
              <w:t xml:space="preserve"> “</w:t>
            </w:r>
            <w:r w:rsidRPr="00362F10">
              <w:rPr>
                <w:rFonts w:ascii="Calibri" w:eastAsia="Calibri" w:hAnsi="Calibri" w:cs="Calibri"/>
                <w:i/>
                <w:iCs/>
                <w:color w:val="000000" w:themeColor="text1"/>
              </w:rPr>
              <w:t>By 5 August 2025 and by 31 May every year thereafter, mine operators and drainage station operators shall submit a report to the competent authorities containing data on yearly source-level methane emissions in accordance with this Article</w:t>
            </w:r>
            <w:r w:rsidRPr="00497D1E">
              <w:rPr>
                <w:rFonts w:ascii="Calibri" w:eastAsia="Calibri" w:hAnsi="Calibri" w:cs="Calibri"/>
                <w:color w:val="000000" w:themeColor="text1"/>
              </w:rPr>
              <w:t xml:space="preserve">”) shall be made available to the public pursuant </w:t>
            </w:r>
            <w:r w:rsidR="00362F10">
              <w:rPr>
                <w:rFonts w:ascii="Calibri" w:eastAsia="Calibri" w:hAnsi="Calibri" w:cs="Calibri"/>
                <w:color w:val="000000" w:themeColor="text1"/>
              </w:rPr>
              <w:t>A</w:t>
            </w:r>
            <w:r w:rsidRPr="00497D1E">
              <w:rPr>
                <w:rFonts w:ascii="Calibri" w:eastAsia="Calibri" w:hAnsi="Calibri" w:cs="Calibri"/>
                <w:color w:val="000000" w:themeColor="text1"/>
              </w:rPr>
              <w:t>rticle 20</w:t>
            </w:r>
            <w:r w:rsidR="00362F10">
              <w:rPr>
                <w:rFonts w:ascii="Calibri" w:eastAsia="Calibri" w:hAnsi="Calibri" w:cs="Calibri"/>
                <w:color w:val="000000" w:themeColor="text1"/>
              </w:rPr>
              <w:t xml:space="preserve">, </w:t>
            </w:r>
            <w:r w:rsidRPr="00497D1E">
              <w:rPr>
                <w:rFonts w:ascii="Calibri" w:eastAsia="Calibri" w:hAnsi="Calibri" w:cs="Calibri"/>
                <w:color w:val="000000" w:themeColor="text1"/>
              </w:rPr>
              <w:t xml:space="preserve">§7 of the </w:t>
            </w:r>
            <w:r w:rsidR="00362F10">
              <w:rPr>
                <w:rFonts w:ascii="Calibri" w:eastAsia="Calibri" w:hAnsi="Calibri" w:cs="Calibri"/>
                <w:color w:val="000000" w:themeColor="text1"/>
              </w:rPr>
              <w:t>R</w:t>
            </w:r>
            <w:r w:rsidRPr="00497D1E">
              <w:rPr>
                <w:rFonts w:ascii="Calibri" w:eastAsia="Calibri" w:hAnsi="Calibri" w:cs="Calibri"/>
                <w:color w:val="000000" w:themeColor="text1"/>
              </w:rPr>
              <w:t>egulation.</w:t>
            </w:r>
          </w:p>
          <w:p w14:paraId="7462B33F" w14:textId="59291D6F" w:rsidR="00497D1E" w:rsidRPr="00A02D59" w:rsidRDefault="00497D1E" w:rsidP="00A02D59">
            <w:pPr>
              <w:pStyle w:val="ListParagraph"/>
              <w:numPr>
                <w:ilvl w:val="0"/>
                <w:numId w:val="49"/>
              </w:numPr>
              <w:rPr>
                <w:rFonts w:ascii="Calibri" w:eastAsia="Calibri" w:hAnsi="Calibri" w:cs="Calibri"/>
                <w:color w:val="000000" w:themeColor="text1"/>
              </w:rPr>
            </w:pPr>
            <w:r w:rsidRPr="00D042D5">
              <w:rPr>
                <w:rFonts w:ascii="Calibri" w:eastAsia="Calibri" w:hAnsi="Calibri" w:cs="Calibri"/>
                <w:b/>
                <w:bCs/>
                <w:color w:val="000000" w:themeColor="text1"/>
              </w:rPr>
              <w:t>Inclusion of venting and flaring in measurement and reporting frameworks</w:t>
            </w:r>
            <w:r w:rsidRPr="00960E0A">
              <w:rPr>
                <w:rFonts w:ascii="Calibri" w:eastAsia="Calibri" w:hAnsi="Calibri" w:cs="Calibri"/>
                <w:color w:val="000000" w:themeColor="text1"/>
              </w:rPr>
              <w:t xml:space="preserve">: </w:t>
            </w:r>
            <w:r w:rsidR="00362F10" w:rsidRPr="00362F10">
              <w:rPr>
                <w:rFonts w:ascii="Calibri" w:eastAsia="Calibri" w:hAnsi="Calibri" w:cs="Calibri"/>
                <w:color w:val="000000" w:themeColor="text1"/>
              </w:rPr>
              <w:t xml:space="preserve">With regard to </w:t>
            </w:r>
            <w:r w:rsidRPr="00960E0A">
              <w:rPr>
                <w:rFonts w:ascii="Calibri" w:eastAsia="Calibri" w:hAnsi="Calibri" w:cs="Calibri"/>
                <w:color w:val="000000" w:themeColor="text1"/>
              </w:rPr>
              <w:t xml:space="preserve">active and underground coal mines, </w:t>
            </w:r>
            <w:r w:rsidR="00362F10">
              <w:rPr>
                <w:rFonts w:ascii="Calibri" w:eastAsia="Calibri" w:hAnsi="Calibri" w:cs="Calibri"/>
                <w:color w:val="000000" w:themeColor="text1"/>
              </w:rPr>
              <w:t>A</w:t>
            </w:r>
            <w:r w:rsidRPr="00960E0A">
              <w:rPr>
                <w:rFonts w:ascii="Calibri" w:eastAsia="Calibri" w:hAnsi="Calibri" w:cs="Calibri"/>
                <w:color w:val="000000" w:themeColor="text1"/>
              </w:rPr>
              <w:t>rticle 23, §1 provides that from 1 January 2025, drainage station operators shall notify the competent authorities of certain venting events and all flaring events with a destruction and removal efficiency by design level below 99 %.</w:t>
            </w:r>
          </w:p>
          <w:p w14:paraId="4B91EC85" w14:textId="1397443D" w:rsidR="00497D1E" w:rsidRPr="00613F04" w:rsidRDefault="00497D1E" w:rsidP="00613F04">
            <w:pPr>
              <w:pStyle w:val="ListParagraph"/>
              <w:numPr>
                <w:ilvl w:val="0"/>
                <w:numId w:val="49"/>
              </w:numPr>
              <w:rPr>
                <w:rFonts w:ascii="Calibri" w:eastAsia="Calibri" w:hAnsi="Calibri" w:cs="Calibri"/>
                <w:color w:val="000000" w:themeColor="text1"/>
              </w:rPr>
            </w:pPr>
            <w:r w:rsidRPr="00D042D5">
              <w:rPr>
                <w:rFonts w:ascii="Calibri" w:eastAsia="Calibri" w:hAnsi="Calibri" w:cs="Calibri"/>
                <w:b/>
                <w:bCs/>
                <w:color w:val="000000" w:themeColor="text1"/>
              </w:rPr>
              <w:t>Royalties and/or fees for venting and/or flaring</w:t>
            </w:r>
            <w:r>
              <w:rPr>
                <w:rFonts w:ascii="Calibri" w:eastAsia="Calibri" w:hAnsi="Calibri" w:cs="Calibri"/>
                <w:color w:val="000000" w:themeColor="text1"/>
              </w:rPr>
              <w:t xml:space="preserve">: </w:t>
            </w:r>
            <w:r w:rsidR="0045417D" w:rsidRPr="0045417D">
              <w:rPr>
                <w:rFonts w:ascii="Calibri" w:eastAsia="Calibri" w:hAnsi="Calibri" w:cs="Calibri"/>
                <w:color w:val="000000" w:themeColor="text1"/>
              </w:rPr>
              <w:t xml:space="preserve">With regard to </w:t>
            </w:r>
            <w:r>
              <w:rPr>
                <w:rFonts w:ascii="Calibri" w:eastAsia="Calibri" w:hAnsi="Calibri" w:cs="Calibri"/>
                <w:color w:val="000000" w:themeColor="text1"/>
              </w:rPr>
              <w:t xml:space="preserve">emissions resulting from active underground coal mines, </w:t>
            </w:r>
            <w:r w:rsidR="00362F10">
              <w:rPr>
                <w:rFonts w:ascii="Calibri" w:eastAsia="Calibri" w:hAnsi="Calibri" w:cs="Calibri"/>
                <w:color w:val="000000" w:themeColor="text1"/>
              </w:rPr>
              <w:t>A</w:t>
            </w:r>
            <w:r>
              <w:rPr>
                <w:rFonts w:ascii="Calibri" w:eastAsia="Calibri" w:hAnsi="Calibri" w:cs="Calibri"/>
                <w:color w:val="000000" w:themeColor="text1"/>
              </w:rPr>
              <w:t>rticle 22, §4 provides that</w:t>
            </w:r>
            <w:r w:rsidR="00362F10">
              <w:rPr>
                <w:rFonts w:ascii="Calibri" w:eastAsia="Calibri" w:hAnsi="Calibri" w:cs="Calibri"/>
                <w:color w:val="000000" w:themeColor="text1"/>
              </w:rPr>
              <w:t>:</w:t>
            </w:r>
            <w:r>
              <w:rPr>
                <w:rFonts w:ascii="Calibri" w:eastAsia="Calibri" w:hAnsi="Calibri" w:cs="Calibri"/>
                <w:color w:val="000000" w:themeColor="text1"/>
              </w:rPr>
              <w:t xml:space="preserve"> “</w:t>
            </w:r>
            <w:r w:rsidRPr="008B1B4D">
              <w:rPr>
                <w:rFonts w:ascii="Calibri" w:eastAsia="Calibri" w:hAnsi="Calibri" w:cs="Calibri"/>
                <w:i/>
                <w:iCs/>
                <w:color w:val="000000" w:themeColor="text1"/>
              </w:rPr>
              <w:t>Without prejudice to Articles 107 and 108 of the Treaty on the Functioning of the European Union (TFEU), Member States may use a system of incentives to reduce methane emissions based on fees, charges or penalties</w:t>
            </w:r>
            <w:r w:rsidRPr="00362F10">
              <w:rPr>
                <w:rFonts w:ascii="Calibri" w:eastAsia="Calibri" w:hAnsi="Calibri" w:cs="Calibri"/>
                <w:color w:val="000000" w:themeColor="text1"/>
              </w:rPr>
              <w:t>”</w:t>
            </w:r>
            <w:r w:rsidR="00362F10" w:rsidRPr="00362F10">
              <w:rPr>
                <w:rFonts w:ascii="Calibri" w:eastAsia="Calibri" w:hAnsi="Calibri" w:cs="Calibri"/>
                <w:color w:val="000000" w:themeColor="text1"/>
              </w:rPr>
              <w:t>.</w:t>
            </w: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4260B563" w:rsidR="002F0752" w:rsidRPr="00CF2E7C" w:rsidRDefault="00960E0A"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7B6FED9A" w:rsidR="002F0752" w:rsidRPr="00CF2E7C" w:rsidRDefault="00960E0A"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F9A1D4" w:rsidR="002F0752" w:rsidRPr="00CF2E7C" w:rsidRDefault="00960E0A"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3FF1A857" w:rsidR="002F0752" w:rsidRPr="00CF2E7C" w:rsidRDefault="00960E0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4410F391" w:rsidR="002F0752" w:rsidRPr="00CF2E7C" w:rsidRDefault="001E179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595CD345" w:rsidR="002F0752" w:rsidRPr="00CF2E7C" w:rsidRDefault="001E179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537E2EE0" w:rsidR="002F0752" w:rsidRPr="00CF2E7C" w:rsidRDefault="001E179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0AA640B5" w:rsidR="002F0752" w:rsidRPr="00CF2E7C" w:rsidRDefault="001E179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270D2224" w:rsidR="002F0752" w:rsidRPr="00CF2E7C" w:rsidRDefault="001E179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3DE3965F" w:rsidR="002F0752" w:rsidRPr="00CF2E7C" w:rsidRDefault="001E179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78A5294B" w:rsidR="002F0752" w:rsidRPr="00CF2E7C" w:rsidRDefault="001E179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732E1928" w:rsidR="002F0752" w:rsidRPr="00CF2E7C" w:rsidRDefault="001E179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51307AB8" w:rsidR="002F0752" w:rsidRPr="00CF2E7C" w:rsidRDefault="001E179D"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2B4274C4" w:rsidR="002F0752" w:rsidRPr="00CF2E7C" w:rsidRDefault="001E179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5C3C64A7" w:rsidR="002F0752" w:rsidRPr="00CF2E7C" w:rsidRDefault="001E179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4F0A766B" w:rsidR="002F0752" w:rsidRPr="00CF2E7C" w:rsidRDefault="00D5244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592AD792" w:rsidR="002F0752" w:rsidRPr="00CF2E7C" w:rsidRDefault="00D5244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203CD7AD" w:rsidR="002F0752" w:rsidRPr="00CF2E7C" w:rsidRDefault="00D5244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B9CE011" w:rsidR="002F0752" w:rsidRPr="00CF2E7C" w:rsidRDefault="00D5244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2C4CD8D3" w:rsidR="002F0752" w:rsidRPr="00CF2E7C" w:rsidRDefault="00D52446"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1B26D8AB" w:rsidR="002F0752" w:rsidRPr="00CF2E7C" w:rsidRDefault="00D52446"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4F1A07" w14:textId="593F438E" w:rsidR="002F0752" w:rsidRDefault="001E179D" w:rsidP="001E179D">
            <w:pPr>
              <w:pStyle w:val="ListParagraph"/>
              <w:numPr>
                <w:ilvl w:val="0"/>
                <w:numId w:val="49"/>
              </w:numPr>
              <w:rPr>
                <w:rFonts w:ascii="Calibri" w:hAnsi="Calibri" w:cs="Calibri"/>
              </w:rPr>
            </w:pPr>
            <w:r w:rsidRPr="001E179D">
              <w:rPr>
                <w:rFonts w:ascii="Calibri" w:hAnsi="Calibri" w:cs="Calibri"/>
              </w:rPr>
              <w:t xml:space="preserve">ISO 16530-1:2017 </w:t>
            </w:r>
            <w:r w:rsidR="00C459AF">
              <w:rPr>
                <w:rFonts w:ascii="Calibri" w:hAnsi="Calibri" w:cs="Calibri"/>
              </w:rPr>
              <w:t>(Annex V, §3, (c)</w:t>
            </w:r>
            <w:r w:rsidR="00250F28">
              <w:rPr>
                <w:rFonts w:ascii="Calibri" w:hAnsi="Calibri" w:cs="Calibri"/>
              </w:rPr>
              <w:t xml:space="preserve"> of the Regulation), and</w:t>
            </w:r>
          </w:p>
          <w:p w14:paraId="216F1CD0" w14:textId="30648203" w:rsidR="001E179D" w:rsidRPr="00DA0E3B" w:rsidRDefault="00250F28" w:rsidP="00DA0E3B">
            <w:pPr>
              <w:pStyle w:val="ListParagraph"/>
              <w:numPr>
                <w:ilvl w:val="0"/>
                <w:numId w:val="49"/>
              </w:numPr>
              <w:rPr>
                <w:rFonts w:ascii="Calibri" w:hAnsi="Calibri" w:cs="Calibri"/>
              </w:rPr>
            </w:pPr>
            <w:r>
              <w:rPr>
                <w:rFonts w:ascii="Calibri" w:hAnsi="Calibri" w:cs="Calibri"/>
              </w:rPr>
              <w:t>T</w:t>
            </w:r>
            <w:r w:rsidR="00DA0E3B">
              <w:rPr>
                <w:rFonts w:ascii="Calibri" w:hAnsi="Calibri" w:cs="Calibri"/>
              </w:rPr>
              <w:t xml:space="preserve">he </w:t>
            </w:r>
            <w:r>
              <w:rPr>
                <w:rFonts w:ascii="Calibri" w:hAnsi="Calibri" w:cs="Calibri"/>
              </w:rPr>
              <w:t xml:space="preserve">European </w:t>
            </w:r>
            <w:r w:rsidR="00DA0E3B">
              <w:rPr>
                <w:rFonts w:ascii="Calibri" w:hAnsi="Calibri" w:cs="Calibri"/>
              </w:rPr>
              <w:t xml:space="preserve">Commission shall either request </w:t>
            </w:r>
            <w:r w:rsidR="00DA0E3B" w:rsidRPr="00DA0E3B">
              <w:rPr>
                <w:rFonts w:ascii="Calibri" w:hAnsi="Calibri" w:cs="Calibri"/>
              </w:rPr>
              <w:t>European standardisation organisations to draft harmonised standards</w:t>
            </w:r>
            <w:r w:rsidR="00DA0E3B">
              <w:rPr>
                <w:rFonts w:ascii="Calibri" w:hAnsi="Calibri" w:cs="Calibri"/>
              </w:rPr>
              <w:t xml:space="preserve"> or </w:t>
            </w:r>
            <w:r w:rsidR="00DA0E3B" w:rsidRPr="00DA0E3B">
              <w:rPr>
                <w:rFonts w:ascii="Calibri" w:hAnsi="Calibri" w:cs="Calibri"/>
              </w:rPr>
              <w:t>adopt delegated acts to supplement this Regulation by establishing mandatory standards</w:t>
            </w:r>
            <w:r>
              <w:rPr>
                <w:rFonts w:ascii="Calibri" w:hAnsi="Calibri" w:cs="Calibri"/>
              </w:rPr>
              <w:t xml:space="preserve"> (</w:t>
            </w:r>
            <w:r>
              <w:rPr>
                <w:rFonts w:ascii="Calibri" w:hAnsi="Calibri" w:cs="Calibri"/>
              </w:rPr>
              <w:t>Article 32</w:t>
            </w:r>
            <w:r>
              <w:rPr>
                <w:rFonts w:ascii="Calibri" w:hAnsi="Calibri" w:cs="Calibri"/>
              </w:rPr>
              <w:t>).</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C6C908" w14:textId="77777777" w:rsidR="00702133" w:rsidRDefault="00702133" w:rsidP="00874E39">
      <w:r>
        <w:separator/>
      </w:r>
    </w:p>
  </w:endnote>
  <w:endnote w:type="continuationSeparator" w:id="0">
    <w:p w14:paraId="096861E3" w14:textId="77777777" w:rsidR="00702133" w:rsidRDefault="00702133" w:rsidP="00874E39">
      <w:r>
        <w:continuationSeparator/>
      </w:r>
    </w:p>
  </w:endnote>
  <w:endnote w:type="continuationNotice" w:id="1">
    <w:p w14:paraId="3A6C042A" w14:textId="77777777" w:rsidR="00702133" w:rsidRDefault="0070213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A78DC2" w14:textId="77777777" w:rsidR="00702133" w:rsidRDefault="00702133" w:rsidP="00874E39">
      <w:r>
        <w:separator/>
      </w:r>
    </w:p>
  </w:footnote>
  <w:footnote w:type="continuationSeparator" w:id="0">
    <w:p w14:paraId="5853397F" w14:textId="77777777" w:rsidR="00702133" w:rsidRDefault="00702133" w:rsidP="00874E39">
      <w:r>
        <w:continuationSeparator/>
      </w:r>
    </w:p>
  </w:footnote>
  <w:footnote w:type="continuationNotice" w:id="1">
    <w:p w14:paraId="032F3FC5" w14:textId="77777777" w:rsidR="00702133" w:rsidRDefault="0070213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1DAE4C8D"/>
    <w:multiLevelType w:val="hybridMultilevel"/>
    <w:tmpl w:val="09986B08"/>
    <w:lvl w:ilvl="0" w:tplc="B9CA01E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8211F90"/>
    <w:multiLevelType w:val="hybridMultilevel"/>
    <w:tmpl w:val="E304A5E2"/>
    <w:lvl w:ilvl="0" w:tplc="30545832">
      <w:start w:val="1"/>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5AF0715B"/>
    <w:multiLevelType w:val="hybridMultilevel"/>
    <w:tmpl w:val="9F6ED43E"/>
    <w:lvl w:ilvl="0" w:tplc="AC0E16F8">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4"/>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50"/>
  </w:num>
  <w:num w:numId="12" w16cid:durableId="1344891410">
    <w:abstractNumId w:val="9"/>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5"/>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7"/>
  </w:num>
  <w:num w:numId="25" w16cid:durableId="1659531047">
    <w:abstractNumId w:val="46"/>
  </w:num>
  <w:num w:numId="26" w16cid:durableId="752774403">
    <w:abstractNumId w:val="23"/>
  </w:num>
  <w:num w:numId="27" w16cid:durableId="347872198">
    <w:abstractNumId w:val="6"/>
  </w:num>
  <w:num w:numId="28" w16cid:durableId="537133110">
    <w:abstractNumId w:val="13"/>
  </w:num>
  <w:num w:numId="29" w16cid:durableId="1632318729">
    <w:abstractNumId w:val="48"/>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3"/>
  </w:num>
  <w:num w:numId="46" w16cid:durableId="947811845">
    <w:abstractNumId w:val="49"/>
  </w:num>
  <w:num w:numId="47" w16cid:durableId="342588554">
    <w:abstractNumId w:val="26"/>
  </w:num>
  <w:num w:numId="48" w16cid:durableId="318391343">
    <w:abstractNumId w:val="37"/>
  </w:num>
  <w:num w:numId="49" w16cid:durableId="628627467">
    <w:abstractNumId w:val="41"/>
  </w:num>
  <w:num w:numId="50" w16cid:durableId="379978834">
    <w:abstractNumId w:val="10"/>
  </w:num>
  <w:num w:numId="51" w16cid:durableId="513691598">
    <w:abstractNumId w:val="4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2"/>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4EFA"/>
    <w:rsid w:val="00016734"/>
    <w:rsid w:val="00016AF3"/>
    <w:rsid w:val="0002032A"/>
    <w:rsid w:val="00021C84"/>
    <w:rsid w:val="000235A5"/>
    <w:rsid w:val="000237AB"/>
    <w:rsid w:val="00023E89"/>
    <w:rsid w:val="00024B36"/>
    <w:rsid w:val="00024B46"/>
    <w:rsid w:val="00025699"/>
    <w:rsid w:val="00027241"/>
    <w:rsid w:val="00027314"/>
    <w:rsid w:val="00027BB2"/>
    <w:rsid w:val="00027D03"/>
    <w:rsid w:val="00030C1E"/>
    <w:rsid w:val="000312D4"/>
    <w:rsid w:val="000334B6"/>
    <w:rsid w:val="0003453A"/>
    <w:rsid w:val="00034EDB"/>
    <w:rsid w:val="00035464"/>
    <w:rsid w:val="000372C9"/>
    <w:rsid w:val="00037F69"/>
    <w:rsid w:val="000403CE"/>
    <w:rsid w:val="00040F2E"/>
    <w:rsid w:val="00040F48"/>
    <w:rsid w:val="00041BB2"/>
    <w:rsid w:val="00042155"/>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800"/>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37E"/>
    <w:rsid w:val="000B719B"/>
    <w:rsid w:val="000B7742"/>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26EC"/>
    <w:rsid w:val="000E310E"/>
    <w:rsid w:val="000E3B90"/>
    <w:rsid w:val="000E3D35"/>
    <w:rsid w:val="000E6110"/>
    <w:rsid w:val="000E6A6A"/>
    <w:rsid w:val="000E7A8A"/>
    <w:rsid w:val="000F1252"/>
    <w:rsid w:val="000F1D92"/>
    <w:rsid w:val="000F4459"/>
    <w:rsid w:val="000F5E92"/>
    <w:rsid w:val="000F690C"/>
    <w:rsid w:val="000F6A41"/>
    <w:rsid w:val="000F6E3B"/>
    <w:rsid w:val="0010113D"/>
    <w:rsid w:val="00101305"/>
    <w:rsid w:val="001014D9"/>
    <w:rsid w:val="001021EC"/>
    <w:rsid w:val="00104BA2"/>
    <w:rsid w:val="00104EB1"/>
    <w:rsid w:val="00105889"/>
    <w:rsid w:val="00105C84"/>
    <w:rsid w:val="00105F75"/>
    <w:rsid w:val="00106F13"/>
    <w:rsid w:val="001076B0"/>
    <w:rsid w:val="001078E1"/>
    <w:rsid w:val="00107CE2"/>
    <w:rsid w:val="00107D91"/>
    <w:rsid w:val="0011092E"/>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B10"/>
    <w:rsid w:val="00123F5C"/>
    <w:rsid w:val="00124C48"/>
    <w:rsid w:val="001313B5"/>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B4B"/>
    <w:rsid w:val="00152239"/>
    <w:rsid w:val="00152C19"/>
    <w:rsid w:val="00153DBC"/>
    <w:rsid w:val="001546B4"/>
    <w:rsid w:val="00156468"/>
    <w:rsid w:val="00156AE2"/>
    <w:rsid w:val="00156CD5"/>
    <w:rsid w:val="0015734C"/>
    <w:rsid w:val="0016002C"/>
    <w:rsid w:val="00160486"/>
    <w:rsid w:val="001604B3"/>
    <w:rsid w:val="00161D1B"/>
    <w:rsid w:val="00162CC0"/>
    <w:rsid w:val="00164519"/>
    <w:rsid w:val="00165BB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39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4E5"/>
    <w:rsid w:val="001B4DEC"/>
    <w:rsid w:val="001B4FB1"/>
    <w:rsid w:val="001B60DE"/>
    <w:rsid w:val="001C008B"/>
    <w:rsid w:val="001C0769"/>
    <w:rsid w:val="001C239C"/>
    <w:rsid w:val="001C3435"/>
    <w:rsid w:val="001C3966"/>
    <w:rsid w:val="001C4700"/>
    <w:rsid w:val="001C5A18"/>
    <w:rsid w:val="001C5C5D"/>
    <w:rsid w:val="001C614E"/>
    <w:rsid w:val="001C669F"/>
    <w:rsid w:val="001C7728"/>
    <w:rsid w:val="001D03D3"/>
    <w:rsid w:val="001D1453"/>
    <w:rsid w:val="001D1E48"/>
    <w:rsid w:val="001D1FF2"/>
    <w:rsid w:val="001D36D7"/>
    <w:rsid w:val="001D374C"/>
    <w:rsid w:val="001D5DD2"/>
    <w:rsid w:val="001D5F78"/>
    <w:rsid w:val="001D7A0B"/>
    <w:rsid w:val="001D7E76"/>
    <w:rsid w:val="001E179D"/>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8AD"/>
    <w:rsid w:val="0021535C"/>
    <w:rsid w:val="0021729E"/>
    <w:rsid w:val="00220F36"/>
    <w:rsid w:val="00222757"/>
    <w:rsid w:val="00222DFA"/>
    <w:rsid w:val="00222E01"/>
    <w:rsid w:val="0022414E"/>
    <w:rsid w:val="002241E7"/>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28"/>
    <w:rsid w:val="00250F54"/>
    <w:rsid w:val="0025129B"/>
    <w:rsid w:val="0025449C"/>
    <w:rsid w:val="002552C9"/>
    <w:rsid w:val="0025765F"/>
    <w:rsid w:val="00257732"/>
    <w:rsid w:val="00264CBC"/>
    <w:rsid w:val="0026588F"/>
    <w:rsid w:val="0026642F"/>
    <w:rsid w:val="00267352"/>
    <w:rsid w:val="002679A5"/>
    <w:rsid w:val="0027067C"/>
    <w:rsid w:val="00270A4D"/>
    <w:rsid w:val="00272D9A"/>
    <w:rsid w:val="002737EF"/>
    <w:rsid w:val="00274335"/>
    <w:rsid w:val="00274864"/>
    <w:rsid w:val="00274B22"/>
    <w:rsid w:val="00277FC5"/>
    <w:rsid w:val="00280A8A"/>
    <w:rsid w:val="00281FB9"/>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BE1"/>
    <w:rsid w:val="002B6C7E"/>
    <w:rsid w:val="002B6EEF"/>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EE4"/>
    <w:rsid w:val="002E1EE8"/>
    <w:rsid w:val="002E2C07"/>
    <w:rsid w:val="002E41E2"/>
    <w:rsid w:val="002E46B9"/>
    <w:rsid w:val="002E4FB8"/>
    <w:rsid w:val="002E54AE"/>
    <w:rsid w:val="002E5ACB"/>
    <w:rsid w:val="002E6DEC"/>
    <w:rsid w:val="002E7BF5"/>
    <w:rsid w:val="002F0752"/>
    <w:rsid w:val="002F1ABB"/>
    <w:rsid w:val="002F359D"/>
    <w:rsid w:val="002F3FDE"/>
    <w:rsid w:val="002F435A"/>
    <w:rsid w:val="002F4EC2"/>
    <w:rsid w:val="002F51F3"/>
    <w:rsid w:val="002F5320"/>
    <w:rsid w:val="002F5D09"/>
    <w:rsid w:val="00300385"/>
    <w:rsid w:val="00300C2F"/>
    <w:rsid w:val="003020DB"/>
    <w:rsid w:val="00302816"/>
    <w:rsid w:val="00302BC0"/>
    <w:rsid w:val="003032A9"/>
    <w:rsid w:val="0030368A"/>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6FC7"/>
    <w:rsid w:val="003310EC"/>
    <w:rsid w:val="00331C00"/>
    <w:rsid w:val="00334282"/>
    <w:rsid w:val="0033546D"/>
    <w:rsid w:val="00335FBD"/>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2FDF"/>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2F10"/>
    <w:rsid w:val="00363218"/>
    <w:rsid w:val="00363320"/>
    <w:rsid w:val="003634F2"/>
    <w:rsid w:val="0036363F"/>
    <w:rsid w:val="003636B2"/>
    <w:rsid w:val="003647F4"/>
    <w:rsid w:val="0036671B"/>
    <w:rsid w:val="003676DE"/>
    <w:rsid w:val="0036779C"/>
    <w:rsid w:val="00372AEE"/>
    <w:rsid w:val="00374169"/>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5B5"/>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2EE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417D"/>
    <w:rsid w:val="004557A1"/>
    <w:rsid w:val="00455E1B"/>
    <w:rsid w:val="00460A6D"/>
    <w:rsid w:val="00460E28"/>
    <w:rsid w:val="00461552"/>
    <w:rsid w:val="00463D40"/>
    <w:rsid w:val="00464C5E"/>
    <w:rsid w:val="0046509D"/>
    <w:rsid w:val="00465B8D"/>
    <w:rsid w:val="00465BE4"/>
    <w:rsid w:val="00467A1C"/>
    <w:rsid w:val="00470095"/>
    <w:rsid w:val="00470D19"/>
    <w:rsid w:val="004711F3"/>
    <w:rsid w:val="00473D86"/>
    <w:rsid w:val="00474855"/>
    <w:rsid w:val="004768DF"/>
    <w:rsid w:val="00477035"/>
    <w:rsid w:val="00480247"/>
    <w:rsid w:val="00481A12"/>
    <w:rsid w:val="004823E7"/>
    <w:rsid w:val="0048313A"/>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6663"/>
    <w:rsid w:val="00497D1E"/>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3B05"/>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0E19"/>
    <w:rsid w:val="0055251F"/>
    <w:rsid w:val="00553BB6"/>
    <w:rsid w:val="00554079"/>
    <w:rsid w:val="00554F39"/>
    <w:rsid w:val="0055593D"/>
    <w:rsid w:val="005576AE"/>
    <w:rsid w:val="00561537"/>
    <w:rsid w:val="00563224"/>
    <w:rsid w:val="00563432"/>
    <w:rsid w:val="005643BE"/>
    <w:rsid w:val="00565173"/>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839"/>
    <w:rsid w:val="00584EE1"/>
    <w:rsid w:val="005858EC"/>
    <w:rsid w:val="00586A0A"/>
    <w:rsid w:val="005870D5"/>
    <w:rsid w:val="005871C9"/>
    <w:rsid w:val="00587FAE"/>
    <w:rsid w:val="005900AD"/>
    <w:rsid w:val="005923CF"/>
    <w:rsid w:val="00592CDE"/>
    <w:rsid w:val="005938A6"/>
    <w:rsid w:val="005946B7"/>
    <w:rsid w:val="005949B8"/>
    <w:rsid w:val="00595185"/>
    <w:rsid w:val="0059609B"/>
    <w:rsid w:val="00596289"/>
    <w:rsid w:val="00596CC5"/>
    <w:rsid w:val="0059772D"/>
    <w:rsid w:val="00597F9B"/>
    <w:rsid w:val="005A03B5"/>
    <w:rsid w:val="005A2023"/>
    <w:rsid w:val="005A270C"/>
    <w:rsid w:val="005A2821"/>
    <w:rsid w:val="005A2900"/>
    <w:rsid w:val="005A383B"/>
    <w:rsid w:val="005A4E4C"/>
    <w:rsid w:val="005A54A2"/>
    <w:rsid w:val="005A5613"/>
    <w:rsid w:val="005A74B1"/>
    <w:rsid w:val="005A76C9"/>
    <w:rsid w:val="005B0574"/>
    <w:rsid w:val="005B355B"/>
    <w:rsid w:val="005B4539"/>
    <w:rsid w:val="005B70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1CD"/>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3F04"/>
    <w:rsid w:val="006143C5"/>
    <w:rsid w:val="006144DA"/>
    <w:rsid w:val="00615CDA"/>
    <w:rsid w:val="00616D73"/>
    <w:rsid w:val="00617678"/>
    <w:rsid w:val="00620CAC"/>
    <w:rsid w:val="006225F1"/>
    <w:rsid w:val="006229D5"/>
    <w:rsid w:val="006231E7"/>
    <w:rsid w:val="006239D6"/>
    <w:rsid w:val="00626B40"/>
    <w:rsid w:val="006278AE"/>
    <w:rsid w:val="00630D85"/>
    <w:rsid w:val="006317B0"/>
    <w:rsid w:val="00631996"/>
    <w:rsid w:val="00631AAB"/>
    <w:rsid w:val="006321A7"/>
    <w:rsid w:val="00633547"/>
    <w:rsid w:val="00633612"/>
    <w:rsid w:val="00633E8C"/>
    <w:rsid w:val="0063488C"/>
    <w:rsid w:val="00636096"/>
    <w:rsid w:val="00636853"/>
    <w:rsid w:val="00637FAE"/>
    <w:rsid w:val="0064134E"/>
    <w:rsid w:val="00641484"/>
    <w:rsid w:val="00641E18"/>
    <w:rsid w:val="00641ECB"/>
    <w:rsid w:val="006422ED"/>
    <w:rsid w:val="006450DB"/>
    <w:rsid w:val="0064585A"/>
    <w:rsid w:val="00646897"/>
    <w:rsid w:val="00646CCB"/>
    <w:rsid w:val="00647D9B"/>
    <w:rsid w:val="00651DBE"/>
    <w:rsid w:val="006529EC"/>
    <w:rsid w:val="00652C0B"/>
    <w:rsid w:val="00653F30"/>
    <w:rsid w:val="00654950"/>
    <w:rsid w:val="00655763"/>
    <w:rsid w:val="00655BD9"/>
    <w:rsid w:val="00655FF7"/>
    <w:rsid w:val="006561EB"/>
    <w:rsid w:val="006562BF"/>
    <w:rsid w:val="00656A7C"/>
    <w:rsid w:val="0066041A"/>
    <w:rsid w:val="006621B6"/>
    <w:rsid w:val="00662657"/>
    <w:rsid w:val="006636CE"/>
    <w:rsid w:val="00663D94"/>
    <w:rsid w:val="00664677"/>
    <w:rsid w:val="00664A9C"/>
    <w:rsid w:val="00666CB6"/>
    <w:rsid w:val="00671EA4"/>
    <w:rsid w:val="006736BC"/>
    <w:rsid w:val="006746D5"/>
    <w:rsid w:val="0067532A"/>
    <w:rsid w:val="00675752"/>
    <w:rsid w:val="006770B7"/>
    <w:rsid w:val="006801E4"/>
    <w:rsid w:val="00682788"/>
    <w:rsid w:val="00683A9D"/>
    <w:rsid w:val="00683DB5"/>
    <w:rsid w:val="006840CD"/>
    <w:rsid w:val="00684312"/>
    <w:rsid w:val="006843CB"/>
    <w:rsid w:val="00685A4F"/>
    <w:rsid w:val="006878AC"/>
    <w:rsid w:val="00690B2A"/>
    <w:rsid w:val="006936EF"/>
    <w:rsid w:val="00694086"/>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133"/>
    <w:rsid w:val="00702413"/>
    <w:rsid w:val="00702929"/>
    <w:rsid w:val="00702E5A"/>
    <w:rsid w:val="00703034"/>
    <w:rsid w:val="007032D7"/>
    <w:rsid w:val="00704B86"/>
    <w:rsid w:val="007055F4"/>
    <w:rsid w:val="00705948"/>
    <w:rsid w:val="00705ADE"/>
    <w:rsid w:val="007065E3"/>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C39"/>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039"/>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0A57"/>
    <w:rsid w:val="00782ABB"/>
    <w:rsid w:val="00782B03"/>
    <w:rsid w:val="00783F09"/>
    <w:rsid w:val="00783F69"/>
    <w:rsid w:val="0078610D"/>
    <w:rsid w:val="007866CF"/>
    <w:rsid w:val="00786AC9"/>
    <w:rsid w:val="00786EC4"/>
    <w:rsid w:val="00791ED5"/>
    <w:rsid w:val="007927B3"/>
    <w:rsid w:val="00792AC3"/>
    <w:rsid w:val="007936B2"/>
    <w:rsid w:val="007936C6"/>
    <w:rsid w:val="007939C4"/>
    <w:rsid w:val="00794D7C"/>
    <w:rsid w:val="00795C6E"/>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3E9"/>
    <w:rsid w:val="007B5F4C"/>
    <w:rsid w:val="007B6750"/>
    <w:rsid w:val="007B6AD4"/>
    <w:rsid w:val="007B6E7E"/>
    <w:rsid w:val="007B7083"/>
    <w:rsid w:val="007B72B3"/>
    <w:rsid w:val="007B7633"/>
    <w:rsid w:val="007B7DEE"/>
    <w:rsid w:val="007B7FD7"/>
    <w:rsid w:val="007C10D3"/>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A92"/>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2DC6"/>
    <w:rsid w:val="008432F5"/>
    <w:rsid w:val="008434EB"/>
    <w:rsid w:val="00844289"/>
    <w:rsid w:val="008455E5"/>
    <w:rsid w:val="00846043"/>
    <w:rsid w:val="0084684C"/>
    <w:rsid w:val="008472B1"/>
    <w:rsid w:val="00847F58"/>
    <w:rsid w:val="00850568"/>
    <w:rsid w:val="0085060B"/>
    <w:rsid w:val="00850F36"/>
    <w:rsid w:val="008510EC"/>
    <w:rsid w:val="00851476"/>
    <w:rsid w:val="0085148F"/>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6B8A"/>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20C"/>
    <w:rsid w:val="008A0461"/>
    <w:rsid w:val="008A093D"/>
    <w:rsid w:val="008A1DDE"/>
    <w:rsid w:val="008A207F"/>
    <w:rsid w:val="008A345E"/>
    <w:rsid w:val="008A4685"/>
    <w:rsid w:val="008A50AD"/>
    <w:rsid w:val="008B0F60"/>
    <w:rsid w:val="008B0F8A"/>
    <w:rsid w:val="008B1B4D"/>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64B9"/>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2BD5"/>
    <w:rsid w:val="00903BD2"/>
    <w:rsid w:val="00905C1A"/>
    <w:rsid w:val="00906E8B"/>
    <w:rsid w:val="009072F7"/>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F08"/>
    <w:rsid w:val="00932230"/>
    <w:rsid w:val="009331F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E0A"/>
    <w:rsid w:val="00960F14"/>
    <w:rsid w:val="009612D3"/>
    <w:rsid w:val="00962064"/>
    <w:rsid w:val="00962F14"/>
    <w:rsid w:val="00963A39"/>
    <w:rsid w:val="00963DC5"/>
    <w:rsid w:val="009649F8"/>
    <w:rsid w:val="00966139"/>
    <w:rsid w:val="00966160"/>
    <w:rsid w:val="00966C8D"/>
    <w:rsid w:val="0097030B"/>
    <w:rsid w:val="00970C82"/>
    <w:rsid w:val="00970ECE"/>
    <w:rsid w:val="00971C0E"/>
    <w:rsid w:val="00974581"/>
    <w:rsid w:val="009745EE"/>
    <w:rsid w:val="00976106"/>
    <w:rsid w:val="00976B54"/>
    <w:rsid w:val="00977578"/>
    <w:rsid w:val="00977BA5"/>
    <w:rsid w:val="009805DC"/>
    <w:rsid w:val="00981000"/>
    <w:rsid w:val="009818E7"/>
    <w:rsid w:val="00981AD6"/>
    <w:rsid w:val="0098226E"/>
    <w:rsid w:val="00984628"/>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AC0"/>
    <w:rsid w:val="009B2D9B"/>
    <w:rsid w:val="009B6F1E"/>
    <w:rsid w:val="009B761C"/>
    <w:rsid w:val="009B7EAD"/>
    <w:rsid w:val="009C1A3E"/>
    <w:rsid w:val="009C27D3"/>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4BA"/>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2D59"/>
    <w:rsid w:val="00A035AB"/>
    <w:rsid w:val="00A04C9D"/>
    <w:rsid w:val="00A04DB8"/>
    <w:rsid w:val="00A050A2"/>
    <w:rsid w:val="00A05372"/>
    <w:rsid w:val="00A05CFC"/>
    <w:rsid w:val="00A064CE"/>
    <w:rsid w:val="00A0773E"/>
    <w:rsid w:val="00A07FB5"/>
    <w:rsid w:val="00A123CE"/>
    <w:rsid w:val="00A1384B"/>
    <w:rsid w:val="00A14A3D"/>
    <w:rsid w:val="00A14AF3"/>
    <w:rsid w:val="00A14B52"/>
    <w:rsid w:val="00A175F8"/>
    <w:rsid w:val="00A17AE4"/>
    <w:rsid w:val="00A20CCF"/>
    <w:rsid w:val="00A21BB6"/>
    <w:rsid w:val="00A22012"/>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795"/>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3385"/>
    <w:rsid w:val="00A74FB5"/>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AF7AEB"/>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0FAC"/>
    <w:rsid w:val="00B720BA"/>
    <w:rsid w:val="00B733B0"/>
    <w:rsid w:val="00B745B3"/>
    <w:rsid w:val="00B74F7D"/>
    <w:rsid w:val="00B76EAD"/>
    <w:rsid w:val="00B802FC"/>
    <w:rsid w:val="00B80E01"/>
    <w:rsid w:val="00B81D1E"/>
    <w:rsid w:val="00B82E77"/>
    <w:rsid w:val="00B82FEF"/>
    <w:rsid w:val="00B83827"/>
    <w:rsid w:val="00B84428"/>
    <w:rsid w:val="00B84909"/>
    <w:rsid w:val="00B855E0"/>
    <w:rsid w:val="00B87C89"/>
    <w:rsid w:val="00B90CEC"/>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7FE"/>
    <w:rsid w:val="00BB7964"/>
    <w:rsid w:val="00BC0309"/>
    <w:rsid w:val="00BC1037"/>
    <w:rsid w:val="00BC2F0B"/>
    <w:rsid w:val="00BC2F60"/>
    <w:rsid w:val="00BC3206"/>
    <w:rsid w:val="00BC3C01"/>
    <w:rsid w:val="00BC4832"/>
    <w:rsid w:val="00BC5451"/>
    <w:rsid w:val="00BC5744"/>
    <w:rsid w:val="00BC5B8A"/>
    <w:rsid w:val="00BD13B8"/>
    <w:rsid w:val="00BD1613"/>
    <w:rsid w:val="00BD3AB4"/>
    <w:rsid w:val="00BD5856"/>
    <w:rsid w:val="00BD63FF"/>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3E1"/>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5E1"/>
    <w:rsid w:val="00C34977"/>
    <w:rsid w:val="00C352FA"/>
    <w:rsid w:val="00C35794"/>
    <w:rsid w:val="00C36019"/>
    <w:rsid w:val="00C37B62"/>
    <w:rsid w:val="00C37D48"/>
    <w:rsid w:val="00C40234"/>
    <w:rsid w:val="00C4058E"/>
    <w:rsid w:val="00C419A1"/>
    <w:rsid w:val="00C425DF"/>
    <w:rsid w:val="00C43124"/>
    <w:rsid w:val="00C4343F"/>
    <w:rsid w:val="00C44721"/>
    <w:rsid w:val="00C44813"/>
    <w:rsid w:val="00C44B61"/>
    <w:rsid w:val="00C450A4"/>
    <w:rsid w:val="00C453A7"/>
    <w:rsid w:val="00C45854"/>
    <w:rsid w:val="00C459AF"/>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7EED"/>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9728D"/>
    <w:rsid w:val="00C976E6"/>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1954"/>
    <w:rsid w:val="00CC1CB9"/>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7668"/>
    <w:rsid w:val="00CF01F9"/>
    <w:rsid w:val="00CF0A09"/>
    <w:rsid w:val="00CF12B7"/>
    <w:rsid w:val="00CF2E7C"/>
    <w:rsid w:val="00CF3188"/>
    <w:rsid w:val="00CF31E5"/>
    <w:rsid w:val="00CF3B95"/>
    <w:rsid w:val="00CF4338"/>
    <w:rsid w:val="00CF5268"/>
    <w:rsid w:val="00CF57A6"/>
    <w:rsid w:val="00CF5976"/>
    <w:rsid w:val="00CF5D92"/>
    <w:rsid w:val="00CF6FC2"/>
    <w:rsid w:val="00D004AD"/>
    <w:rsid w:val="00D01B92"/>
    <w:rsid w:val="00D02935"/>
    <w:rsid w:val="00D02C80"/>
    <w:rsid w:val="00D02FA1"/>
    <w:rsid w:val="00D042D5"/>
    <w:rsid w:val="00D056E9"/>
    <w:rsid w:val="00D07A89"/>
    <w:rsid w:val="00D101FF"/>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52EA"/>
    <w:rsid w:val="00D46116"/>
    <w:rsid w:val="00D46297"/>
    <w:rsid w:val="00D4693D"/>
    <w:rsid w:val="00D46B07"/>
    <w:rsid w:val="00D47404"/>
    <w:rsid w:val="00D510DA"/>
    <w:rsid w:val="00D52446"/>
    <w:rsid w:val="00D53F8D"/>
    <w:rsid w:val="00D547E6"/>
    <w:rsid w:val="00D56EA7"/>
    <w:rsid w:val="00D57AD5"/>
    <w:rsid w:val="00D6003F"/>
    <w:rsid w:val="00D60275"/>
    <w:rsid w:val="00D637B2"/>
    <w:rsid w:val="00D6386F"/>
    <w:rsid w:val="00D66DDD"/>
    <w:rsid w:val="00D67EB7"/>
    <w:rsid w:val="00D70367"/>
    <w:rsid w:val="00D72024"/>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0E3B"/>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B99"/>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74D"/>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84B"/>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B46"/>
    <w:rsid w:val="00E76F8F"/>
    <w:rsid w:val="00E8009D"/>
    <w:rsid w:val="00E81727"/>
    <w:rsid w:val="00E8221C"/>
    <w:rsid w:val="00E83D9D"/>
    <w:rsid w:val="00E83E48"/>
    <w:rsid w:val="00E84895"/>
    <w:rsid w:val="00E85E70"/>
    <w:rsid w:val="00E86E3F"/>
    <w:rsid w:val="00E87F57"/>
    <w:rsid w:val="00E911ED"/>
    <w:rsid w:val="00E91A16"/>
    <w:rsid w:val="00E91BCF"/>
    <w:rsid w:val="00E9266B"/>
    <w:rsid w:val="00E929F9"/>
    <w:rsid w:val="00E93807"/>
    <w:rsid w:val="00E94905"/>
    <w:rsid w:val="00E95DD6"/>
    <w:rsid w:val="00E969D1"/>
    <w:rsid w:val="00E96BB7"/>
    <w:rsid w:val="00E96E6A"/>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55D0"/>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4D35"/>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6B0"/>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63F"/>
    <w:rsid w:val="00F77EB8"/>
    <w:rsid w:val="00F8493A"/>
    <w:rsid w:val="00F86AAC"/>
    <w:rsid w:val="00F86D14"/>
    <w:rsid w:val="00F87716"/>
    <w:rsid w:val="00F87E26"/>
    <w:rsid w:val="00F909A2"/>
    <w:rsid w:val="00F90B02"/>
    <w:rsid w:val="00F921FF"/>
    <w:rsid w:val="00F9442E"/>
    <w:rsid w:val="00F9445A"/>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C79F3"/>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F03"/>
    <w:rsid w:val="00FF3644"/>
    <w:rsid w:val="00FF44B8"/>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oj-normal">
    <w:name w:val="oj-normal"/>
    <w:basedOn w:val="Normal"/>
    <w:rsid w:val="002E0EE4"/>
    <w:pPr>
      <w:spacing w:before="100" w:beforeAutospacing="1" w:after="100" w:afterAutospacing="1"/>
    </w:pPr>
    <w:rPr>
      <w:rFonts w:ascii="Times New Roman" w:eastAsia="Times New Roman" w:hAnsi="Times New Roman" w:cs="Times New Roman"/>
      <w:kern w:val="0"/>
      <w:lang w:eastAsia="zh-CN"/>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5863728">
      <w:bodyDiv w:val="1"/>
      <w:marLeft w:val="0"/>
      <w:marRight w:val="0"/>
      <w:marTop w:val="0"/>
      <w:marBottom w:val="0"/>
      <w:divBdr>
        <w:top w:val="none" w:sz="0" w:space="0" w:color="auto"/>
        <w:left w:val="none" w:sz="0" w:space="0" w:color="auto"/>
        <w:bottom w:val="none" w:sz="0" w:space="0" w:color="auto"/>
        <w:right w:val="none" w:sz="0" w:space="0" w:color="auto"/>
      </w:divBdr>
    </w:div>
    <w:div w:id="449860012">
      <w:bodyDiv w:val="1"/>
      <w:marLeft w:val="0"/>
      <w:marRight w:val="0"/>
      <w:marTop w:val="0"/>
      <w:marBottom w:val="0"/>
      <w:divBdr>
        <w:top w:val="none" w:sz="0" w:space="0" w:color="auto"/>
        <w:left w:val="none" w:sz="0" w:space="0" w:color="auto"/>
        <w:bottom w:val="none" w:sz="0" w:space="0" w:color="auto"/>
        <w:right w:val="none" w:sz="0" w:space="0" w:color="auto"/>
      </w:divBdr>
    </w:div>
    <w:div w:id="51269189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0965307">
      <w:bodyDiv w:val="1"/>
      <w:marLeft w:val="0"/>
      <w:marRight w:val="0"/>
      <w:marTop w:val="0"/>
      <w:marBottom w:val="0"/>
      <w:divBdr>
        <w:top w:val="none" w:sz="0" w:space="0" w:color="auto"/>
        <w:left w:val="none" w:sz="0" w:space="0" w:color="auto"/>
        <w:bottom w:val="none" w:sz="0" w:space="0" w:color="auto"/>
        <w:right w:val="none" w:sz="0" w:space="0" w:color="auto"/>
      </w:divBdr>
      <w:divsChild>
        <w:div w:id="154762360">
          <w:marLeft w:val="0"/>
          <w:marRight w:val="0"/>
          <w:marTop w:val="0"/>
          <w:marBottom w:val="0"/>
          <w:divBdr>
            <w:top w:val="none" w:sz="0" w:space="0" w:color="auto"/>
            <w:left w:val="none" w:sz="0" w:space="0" w:color="auto"/>
            <w:bottom w:val="none" w:sz="0" w:space="0" w:color="auto"/>
            <w:right w:val="none" w:sz="0" w:space="0" w:color="auto"/>
          </w:divBdr>
        </w:div>
        <w:div w:id="817763580">
          <w:marLeft w:val="0"/>
          <w:marRight w:val="0"/>
          <w:marTop w:val="0"/>
          <w:marBottom w:val="0"/>
          <w:divBdr>
            <w:top w:val="none" w:sz="0" w:space="0" w:color="auto"/>
            <w:left w:val="none" w:sz="0" w:space="0" w:color="auto"/>
            <w:bottom w:val="none" w:sz="0" w:space="0" w:color="auto"/>
            <w:right w:val="none" w:sz="0" w:space="0" w:color="auto"/>
          </w:divBdr>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4215118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622168">
      <w:bodyDiv w:val="1"/>
      <w:marLeft w:val="0"/>
      <w:marRight w:val="0"/>
      <w:marTop w:val="0"/>
      <w:marBottom w:val="0"/>
      <w:divBdr>
        <w:top w:val="none" w:sz="0" w:space="0" w:color="auto"/>
        <w:left w:val="none" w:sz="0" w:space="0" w:color="auto"/>
        <w:bottom w:val="none" w:sz="0" w:space="0" w:color="auto"/>
        <w:right w:val="none" w:sz="0" w:space="0" w:color="auto"/>
      </w:divBdr>
      <w:divsChild>
        <w:div w:id="567228410">
          <w:marLeft w:val="0"/>
          <w:marRight w:val="0"/>
          <w:marTop w:val="0"/>
          <w:marBottom w:val="0"/>
          <w:divBdr>
            <w:top w:val="none" w:sz="0" w:space="0" w:color="auto"/>
            <w:left w:val="none" w:sz="0" w:space="0" w:color="auto"/>
            <w:bottom w:val="none" w:sz="0" w:space="0" w:color="auto"/>
            <w:right w:val="none" w:sz="0" w:space="0" w:color="auto"/>
          </w:divBdr>
        </w:div>
        <w:div w:id="1969244110">
          <w:marLeft w:val="0"/>
          <w:marRight w:val="0"/>
          <w:marTop w:val="0"/>
          <w:marBottom w:val="0"/>
          <w:divBdr>
            <w:top w:val="none" w:sz="0" w:space="0" w:color="auto"/>
            <w:left w:val="none" w:sz="0" w:space="0" w:color="auto"/>
            <w:bottom w:val="none" w:sz="0" w:space="0" w:color="auto"/>
            <w:right w:val="none" w:sz="0" w:space="0" w:color="auto"/>
          </w:divBdr>
        </w:div>
        <w:div w:id="1045835767">
          <w:marLeft w:val="0"/>
          <w:marRight w:val="0"/>
          <w:marTop w:val="0"/>
          <w:marBottom w:val="0"/>
          <w:divBdr>
            <w:top w:val="none" w:sz="0" w:space="0" w:color="auto"/>
            <w:left w:val="none" w:sz="0" w:space="0" w:color="auto"/>
            <w:bottom w:val="none" w:sz="0" w:space="0" w:color="auto"/>
            <w:right w:val="none" w:sz="0" w:space="0" w:color="auto"/>
          </w:divBdr>
        </w:div>
      </w:divsChild>
    </w:div>
    <w:div w:id="948699236">
      <w:bodyDiv w:val="1"/>
      <w:marLeft w:val="0"/>
      <w:marRight w:val="0"/>
      <w:marTop w:val="0"/>
      <w:marBottom w:val="0"/>
      <w:divBdr>
        <w:top w:val="none" w:sz="0" w:space="0" w:color="auto"/>
        <w:left w:val="none" w:sz="0" w:space="0" w:color="auto"/>
        <w:bottom w:val="none" w:sz="0" w:space="0" w:color="auto"/>
        <w:right w:val="none" w:sz="0" w:space="0" w:color="auto"/>
      </w:divBdr>
    </w:div>
    <w:div w:id="1018851461">
      <w:bodyDiv w:val="1"/>
      <w:marLeft w:val="0"/>
      <w:marRight w:val="0"/>
      <w:marTop w:val="0"/>
      <w:marBottom w:val="0"/>
      <w:divBdr>
        <w:top w:val="none" w:sz="0" w:space="0" w:color="auto"/>
        <w:left w:val="none" w:sz="0" w:space="0" w:color="auto"/>
        <w:bottom w:val="none" w:sz="0" w:space="0" w:color="auto"/>
        <w:right w:val="none" w:sz="0" w:space="0" w:color="auto"/>
      </w:divBdr>
    </w:div>
    <w:div w:id="107940495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5841410">
      <w:bodyDiv w:val="1"/>
      <w:marLeft w:val="0"/>
      <w:marRight w:val="0"/>
      <w:marTop w:val="0"/>
      <w:marBottom w:val="0"/>
      <w:divBdr>
        <w:top w:val="none" w:sz="0" w:space="0" w:color="auto"/>
        <w:left w:val="none" w:sz="0" w:space="0" w:color="auto"/>
        <w:bottom w:val="none" w:sz="0" w:space="0" w:color="auto"/>
        <w:right w:val="none" w:sz="0" w:space="0" w:color="auto"/>
      </w:divBdr>
    </w:div>
    <w:div w:id="1442413267">
      <w:bodyDiv w:val="1"/>
      <w:marLeft w:val="0"/>
      <w:marRight w:val="0"/>
      <w:marTop w:val="0"/>
      <w:marBottom w:val="0"/>
      <w:divBdr>
        <w:top w:val="none" w:sz="0" w:space="0" w:color="auto"/>
        <w:left w:val="none" w:sz="0" w:space="0" w:color="auto"/>
        <w:bottom w:val="none" w:sz="0" w:space="0" w:color="auto"/>
        <w:right w:val="none" w:sz="0" w:space="0" w:color="auto"/>
      </w:divBdr>
    </w:div>
    <w:div w:id="1518033631">
      <w:bodyDiv w:val="1"/>
      <w:marLeft w:val="0"/>
      <w:marRight w:val="0"/>
      <w:marTop w:val="0"/>
      <w:marBottom w:val="0"/>
      <w:divBdr>
        <w:top w:val="none" w:sz="0" w:space="0" w:color="auto"/>
        <w:left w:val="none" w:sz="0" w:space="0" w:color="auto"/>
        <w:bottom w:val="none" w:sz="0" w:space="0" w:color="auto"/>
        <w:right w:val="none" w:sz="0" w:space="0" w:color="auto"/>
      </w:divBdr>
    </w:div>
    <w:div w:id="1584752744">
      <w:bodyDiv w:val="1"/>
      <w:marLeft w:val="0"/>
      <w:marRight w:val="0"/>
      <w:marTop w:val="0"/>
      <w:marBottom w:val="0"/>
      <w:divBdr>
        <w:top w:val="none" w:sz="0" w:space="0" w:color="auto"/>
        <w:left w:val="none" w:sz="0" w:space="0" w:color="auto"/>
        <w:bottom w:val="none" w:sz="0" w:space="0" w:color="auto"/>
        <w:right w:val="none" w:sz="0" w:space="0" w:color="auto"/>
      </w:divBdr>
      <w:divsChild>
        <w:div w:id="863251527">
          <w:marLeft w:val="0"/>
          <w:marRight w:val="0"/>
          <w:marTop w:val="0"/>
          <w:marBottom w:val="0"/>
          <w:divBdr>
            <w:top w:val="none" w:sz="0" w:space="0" w:color="auto"/>
            <w:left w:val="none" w:sz="0" w:space="0" w:color="auto"/>
            <w:bottom w:val="none" w:sz="0" w:space="0" w:color="auto"/>
            <w:right w:val="none" w:sz="0" w:space="0" w:color="auto"/>
          </w:divBdr>
        </w:div>
        <w:div w:id="205527375">
          <w:marLeft w:val="0"/>
          <w:marRight w:val="0"/>
          <w:marTop w:val="0"/>
          <w:marBottom w:val="0"/>
          <w:divBdr>
            <w:top w:val="none" w:sz="0" w:space="0" w:color="auto"/>
            <w:left w:val="none" w:sz="0" w:space="0" w:color="auto"/>
            <w:bottom w:val="none" w:sz="0" w:space="0" w:color="auto"/>
            <w:right w:val="none" w:sz="0" w:space="0" w:color="auto"/>
          </w:divBdr>
        </w:div>
        <w:div w:id="1973360454">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09683103">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eur-lex.europa.eu/eli/reg/2024/1787/oj/eng"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957</TotalTime>
  <Pages>1</Pages>
  <Words>24712</Words>
  <Characters>140863</Characters>
  <Application>Microsoft Office Word</Application>
  <DocSecurity>0</DocSecurity>
  <Lines>1173</Lines>
  <Paragraphs>330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165245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 Sousa Dantas, Cristina</cp:lastModifiedBy>
  <cp:revision>181</cp:revision>
  <cp:lastPrinted>2025-03-21T00:14:00Z</cp:lastPrinted>
  <dcterms:created xsi:type="dcterms:W3CDTF">2025-06-19T14:27:00Z</dcterms:created>
  <dcterms:modified xsi:type="dcterms:W3CDTF">2025-07-22T15:11:00Z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